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A84" w:rsidRDefault="00D30A84"/>
    <w:tbl>
      <w:tblPr>
        <w:tblpPr w:leftFromText="180" w:rightFromText="180" w:vertAnchor="text" w:tblpXSpec="center" w:tblpY="1"/>
        <w:tblOverlap w:val="never"/>
        <w:tblW w:w="16150" w:type="dxa"/>
        <w:tblLook w:val="0000" w:firstRow="0" w:lastRow="0" w:firstColumn="0" w:lastColumn="0" w:noHBand="0" w:noVBand="0"/>
      </w:tblPr>
      <w:tblGrid>
        <w:gridCol w:w="16150"/>
      </w:tblGrid>
      <w:tr w:rsidR="00D30A84" w:rsidTr="00926266">
        <w:trPr>
          <w:trHeight w:val="570"/>
        </w:trPr>
        <w:tc>
          <w:tcPr>
            <w:tcW w:w="16150" w:type="dxa"/>
            <w:vAlign w:val="center"/>
          </w:tcPr>
          <w:p w:rsidR="00D30A84" w:rsidRDefault="00D30A84" w:rsidP="00B807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0A84" w:rsidRDefault="00926266" w:rsidP="00F02F2F">
            <w:pPr>
              <w:tabs>
                <w:tab w:val="left" w:pos="863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>
                  <wp:extent cx="8229600" cy="914400"/>
                  <wp:effectExtent l="0" t="0" r="0" b="0"/>
                  <wp:docPr id="1" name="Picture 1" descr="Banner J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nner J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0A84" w:rsidRDefault="00D30A84" w:rsidP="00B80786">
            <w:pPr>
              <w:ind w:leftChars="600" w:left="1440" w:right="1440"/>
              <w:jc w:val="right"/>
              <w:rPr>
                <w:rFonts w:ascii="Arial" w:hAnsi="Arial" w:cs="Arial"/>
                <w:color w:val="006C00"/>
                <w:sz w:val="20"/>
                <w:szCs w:val="20"/>
              </w:rPr>
            </w:pPr>
          </w:p>
          <w:p w:rsidR="00D30A84" w:rsidRPr="00CC247A" w:rsidRDefault="00D30A84" w:rsidP="00B80786">
            <w:pPr>
              <w:ind w:left="1440" w:right="1440"/>
              <w:jc w:val="both"/>
              <w:rPr>
                <w:b/>
              </w:rPr>
            </w:pPr>
            <w:r w:rsidRPr="00CC247A">
              <w:rPr>
                <w:b/>
              </w:rPr>
              <w:t xml:space="preserve">Nano Brief </w:t>
            </w:r>
            <w:r w:rsidRPr="00647061">
              <w:object w:dxaOrig="5955" w:dyaOrig="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297.75pt;height:2.25pt" o:ole="">
                  <v:imagedata r:id="rId7" o:title=""/>
                </v:shape>
                <o:OLEObject Type="Embed" ProgID="PBrush" ShapeID="_x0000_i1026" DrawAspect="Content" ObjectID="_1612849068" r:id="rId8"/>
              </w:object>
            </w:r>
          </w:p>
          <w:p w:rsidR="004F1708" w:rsidRDefault="00151B1A" w:rsidP="00AE284E">
            <w:pPr>
              <w:ind w:left="1440" w:right="1440"/>
              <w:jc w:val="both"/>
              <w:rPr>
                <w:color w:val="000000"/>
                <w:lang w:val="en"/>
              </w:rPr>
            </w:pPr>
            <w:r>
              <w:rPr>
                <w:color w:val="000000"/>
                <w:lang w:val="en"/>
              </w:rPr>
              <w:t xml:space="preserve">In 2019, Ebatco will </w:t>
            </w:r>
            <w:r w:rsidR="00BF344B">
              <w:rPr>
                <w:color w:val="000000"/>
                <w:lang w:val="en"/>
              </w:rPr>
              <w:t xml:space="preserve">have </w:t>
            </w:r>
            <w:r>
              <w:rPr>
                <w:color w:val="000000"/>
                <w:lang w:val="en"/>
              </w:rPr>
              <w:t xml:space="preserve">a booth at several upcoming seminars, society meetings, and trade shows with more to be announced later. </w:t>
            </w:r>
          </w:p>
          <w:p w:rsidR="001A48DF" w:rsidRDefault="001A48DF" w:rsidP="001A48DF">
            <w:pPr>
              <w:ind w:left="1440" w:right="1440"/>
              <w:jc w:val="both"/>
            </w:pPr>
            <w:r>
              <w:t xml:space="preserve">Ebatco will be exhibiting at </w:t>
            </w:r>
            <w:r w:rsidR="00587795">
              <w:t>the following</w:t>
            </w:r>
            <w:r>
              <w:t xml:space="preserve"> upcoming events:</w:t>
            </w:r>
          </w:p>
          <w:p w:rsidR="008D4CE8" w:rsidRDefault="008D4CE8" w:rsidP="00066A55">
            <w:pPr>
              <w:pStyle w:val="ListParagraph"/>
              <w:ind w:left="0"/>
            </w:pPr>
          </w:p>
          <w:p w:rsidR="00837D7C" w:rsidRDefault="00837D7C" w:rsidP="00837D7C">
            <w:pPr>
              <w:numPr>
                <w:ilvl w:val="0"/>
                <w:numId w:val="6"/>
              </w:numPr>
              <w:ind w:right="1440"/>
              <w:jc w:val="both"/>
            </w:pPr>
            <w:r>
              <w:t>February 20</w:t>
            </w:r>
            <w:r w:rsidRPr="00837D7C">
              <w:rPr>
                <w:vertAlign w:val="superscript"/>
              </w:rPr>
              <w:t>th</w:t>
            </w:r>
            <w:r>
              <w:t>, ASM International MN Chapter Symposium, Hennepin Technical College, Brooklyn Park, MN</w:t>
            </w:r>
          </w:p>
          <w:p w:rsidR="008D4CE8" w:rsidRDefault="00837D7C" w:rsidP="00837D7C">
            <w:pPr>
              <w:numPr>
                <w:ilvl w:val="0"/>
                <w:numId w:val="6"/>
              </w:numPr>
              <w:ind w:right="1440"/>
              <w:jc w:val="both"/>
            </w:pPr>
            <w:r>
              <w:t>March 18</w:t>
            </w:r>
            <w:r w:rsidRPr="008D4CE8">
              <w:rPr>
                <w:vertAlign w:val="superscript"/>
              </w:rPr>
              <w:t>th</w:t>
            </w:r>
            <w:r>
              <w:t xml:space="preserve"> – 21</w:t>
            </w:r>
            <w:r w:rsidRPr="008D4CE8">
              <w:rPr>
                <w:vertAlign w:val="superscript"/>
              </w:rPr>
              <w:t>st</w:t>
            </w:r>
            <w:r>
              <w:t xml:space="preserve">, </w:t>
            </w:r>
            <w:proofErr w:type="spellStart"/>
            <w:r>
              <w:t>Pittcon</w:t>
            </w:r>
            <w:proofErr w:type="spellEnd"/>
            <w:r>
              <w:t xml:space="preserve"> 2019 Conference,</w:t>
            </w:r>
            <w:r w:rsidR="00926266">
              <w:t xml:space="preserve"> Booth # 1515, Philadelphia Convention Center,</w:t>
            </w:r>
            <w:r>
              <w:t xml:space="preserve"> Philadelphia, PA</w:t>
            </w:r>
          </w:p>
          <w:p w:rsidR="008D4CE8" w:rsidRDefault="008D4CE8" w:rsidP="00837D7C">
            <w:pPr>
              <w:numPr>
                <w:ilvl w:val="0"/>
                <w:numId w:val="6"/>
              </w:numPr>
              <w:ind w:right="1440"/>
              <w:jc w:val="both"/>
            </w:pPr>
            <w:r>
              <w:t>April 27</w:t>
            </w:r>
            <w:r w:rsidRPr="008D4CE8">
              <w:rPr>
                <w:vertAlign w:val="superscript"/>
              </w:rPr>
              <w:t>th</w:t>
            </w:r>
            <w:r>
              <w:t xml:space="preserve"> – May 2</w:t>
            </w:r>
            <w:r w:rsidRPr="008D4CE8">
              <w:rPr>
                <w:vertAlign w:val="superscript"/>
              </w:rPr>
              <w:t>nd</w:t>
            </w:r>
            <w:r>
              <w:t xml:space="preserve">, Society of Vacuum Coaters </w:t>
            </w:r>
            <w:proofErr w:type="spellStart"/>
            <w:r>
              <w:t>TechCon</w:t>
            </w:r>
            <w:proofErr w:type="spellEnd"/>
            <w:r>
              <w:t xml:space="preserve"> 2019 Conference, Long Beach Convention Center, Long Beach, CA</w:t>
            </w:r>
          </w:p>
          <w:p w:rsidR="00837D7C" w:rsidRDefault="008D4CE8" w:rsidP="00837D7C">
            <w:pPr>
              <w:numPr>
                <w:ilvl w:val="0"/>
                <w:numId w:val="6"/>
              </w:numPr>
              <w:ind w:right="1440"/>
              <w:jc w:val="both"/>
            </w:pPr>
            <w:r>
              <w:t>September 29</w:t>
            </w:r>
            <w:r w:rsidRPr="008D4CE8">
              <w:rPr>
                <w:vertAlign w:val="superscript"/>
              </w:rPr>
              <w:t>th</w:t>
            </w:r>
            <w:r>
              <w:t xml:space="preserve"> – October 3</w:t>
            </w:r>
            <w:r w:rsidRPr="008D4CE8">
              <w:rPr>
                <w:vertAlign w:val="superscript"/>
              </w:rPr>
              <w:t>rd</w:t>
            </w:r>
            <w:r>
              <w:t>, Materials Science and Technology Conference, Oregon Convention Center, Portland, OR</w:t>
            </w:r>
          </w:p>
          <w:p w:rsidR="00837D7C" w:rsidRDefault="00837D7C" w:rsidP="00837D7C">
            <w:pPr>
              <w:numPr>
                <w:ilvl w:val="0"/>
                <w:numId w:val="6"/>
              </w:numPr>
              <w:ind w:right="1440"/>
              <w:jc w:val="both"/>
            </w:pPr>
            <w:r>
              <w:t>December 1</w:t>
            </w:r>
            <w:r w:rsidRPr="00837D7C">
              <w:rPr>
                <w:vertAlign w:val="superscript"/>
              </w:rPr>
              <w:t>st</w:t>
            </w:r>
            <w:r>
              <w:t xml:space="preserve"> – 6</w:t>
            </w:r>
            <w:r w:rsidRPr="00837D7C">
              <w:rPr>
                <w:vertAlign w:val="superscript"/>
              </w:rPr>
              <w:t>th</w:t>
            </w:r>
            <w:r>
              <w:t>, Materials Research Society Fall Meeting &amp; Exhibit, Hynes Convention Center, Boston, MA</w:t>
            </w:r>
          </w:p>
          <w:p w:rsidR="00542FA5" w:rsidRDefault="00542FA5" w:rsidP="00542FA5">
            <w:pPr>
              <w:ind w:left="2160" w:right="1440"/>
              <w:jc w:val="both"/>
            </w:pPr>
          </w:p>
          <w:p w:rsidR="001A48DF" w:rsidRDefault="001A48DF" w:rsidP="001A48DF">
            <w:pPr>
              <w:ind w:left="1440" w:right="1440"/>
              <w:jc w:val="both"/>
            </w:pPr>
            <w:r>
              <w:t xml:space="preserve">Please stop by our booth to discuss the incredible world of nanomaterials, nanodevices, </w:t>
            </w:r>
            <w:proofErr w:type="spellStart"/>
            <w:r>
              <w:t>nanoinstruments</w:t>
            </w:r>
            <w:proofErr w:type="spellEnd"/>
            <w:r>
              <w:t xml:space="preserve">, and </w:t>
            </w:r>
            <w:proofErr w:type="spellStart"/>
            <w:r>
              <w:t>nano</w:t>
            </w:r>
            <w:proofErr w:type="spellEnd"/>
            <w:r>
              <w:t>/micro scale surface characterization with our staff scientists. We hope to see you there!</w:t>
            </w:r>
          </w:p>
          <w:p w:rsidR="00194781" w:rsidRDefault="00194781" w:rsidP="00194781">
            <w:pPr>
              <w:ind w:left="1440" w:right="1440"/>
              <w:jc w:val="both"/>
            </w:pPr>
            <w:r>
              <w:t xml:space="preserve"> </w:t>
            </w:r>
          </w:p>
          <w:p w:rsidR="00D30A84" w:rsidRDefault="00D30A84" w:rsidP="00A0169B">
            <w:pPr>
              <w:ind w:left="1440" w:right="1440"/>
              <w:jc w:val="both"/>
            </w:pPr>
            <w:r w:rsidRPr="00CC247A">
              <w:rPr>
                <w:b/>
              </w:rPr>
              <w:t xml:space="preserve">Ebatco </w:t>
            </w:r>
            <w:r w:rsidRPr="00647061">
              <w:object w:dxaOrig="6375" w:dyaOrig="45">
                <v:shape id="_x0000_i1027" type="#_x0000_t75" style="width:318.75pt;height:2.25pt" o:ole="">
                  <v:imagedata r:id="rId9" o:title=""/>
                </v:shape>
                <o:OLEObject Type="Embed" ProgID="PBrush" ShapeID="_x0000_i1027" DrawAspect="Content" ObjectID="_1612849069" r:id="rId10"/>
              </w:object>
            </w:r>
          </w:p>
          <w:p w:rsidR="00106667" w:rsidRDefault="00D74452" w:rsidP="004F3078">
            <w:pPr>
              <w:ind w:left="1440" w:right="1440"/>
              <w:jc w:val="both"/>
            </w:pPr>
            <w:r>
              <w:t xml:space="preserve">Our President </w:t>
            </w:r>
            <w:r w:rsidR="003B57E2">
              <w:t xml:space="preserve">Dr. </w:t>
            </w:r>
            <w:r>
              <w:t>Dehua Yang</w:t>
            </w:r>
            <w:r w:rsidR="003B57E2">
              <w:t>, FASM,</w:t>
            </w:r>
            <w:r>
              <w:t xml:space="preserve"> has been featured in a special live</w:t>
            </w:r>
            <w:r w:rsidR="002E531D">
              <w:t xml:space="preserve"> podcast</w:t>
            </w:r>
            <w:r>
              <w:t xml:space="preserve"> episode of</w:t>
            </w:r>
            <w:r w:rsidR="002E531D">
              <w:t xml:space="preserve"> Rathbone Group’s</w:t>
            </w:r>
            <w:r>
              <w:t xml:space="preserve"> “On Subrogation” during the</w:t>
            </w:r>
            <w:r w:rsidR="002E531D">
              <w:t xml:space="preserve"> NASP </w:t>
            </w:r>
            <w:r w:rsidR="003B57E2">
              <w:t xml:space="preserve">2018 </w:t>
            </w:r>
            <w:r w:rsidR="002E531D">
              <w:t>Conference in Orlando, Florida. The episode, titled “</w:t>
            </w:r>
            <w:r w:rsidR="002E531D" w:rsidRPr="002E531D">
              <w:rPr>
                <w:i/>
              </w:rPr>
              <w:t>Chemicals Can Tell the Story</w:t>
            </w:r>
            <w:r w:rsidR="002E531D">
              <w:t>”</w:t>
            </w:r>
            <w:r w:rsidR="00587795">
              <w:t>,</w:t>
            </w:r>
            <w:r w:rsidR="002E531D">
              <w:t xml:space="preserve"> can be heard:</w:t>
            </w:r>
          </w:p>
          <w:p w:rsidR="002E531D" w:rsidRDefault="002E531D" w:rsidP="004F3078">
            <w:pPr>
              <w:ind w:left="1440" w:right="1440"/>
              <w:jc w:val="both"/>
            </w:pPr>
          </w:p>
          <w:p w:rsidR="002E531D" w:rsidRDefault="002E531D" w:rsidP="004F3078">
            <w:pPr>
              <w:ind w:left="1440" w:right="1440"/>
              <w:jc w:val="both"/>
            </w:pPr>
            <w:r>
              <w:t xml:space="preserve">On their website:  </w:t>
            </w:r>
            <w:hyperlink r:id="rId11" w:history="1">
              <w:r>
                <w:rPr>
                  <w:rStyle w:val="Hyperlink"/>
                </w:rPr>
                <w:t>https://www.rathbonegroup.com/podcast/on-subro-live-chemicals-can-tell-the-story/</w:t>
              </w:r>
            </w:hyperlink>
          </w:p>
          <w:p w:rsidR="002E531D" w:rsidRDefault="002E531D" w:rsidP="002E531D">
            <w:pPr>
              <w:ind w:left="1422" w:right="1462"/>
            </w:pPr>
            <w:r>
              <w:t xml:space="preserve">And on Apple Podcasts:  </w:t>
            </w:r>
            <w:hyperlink r:id="rId12" w:history="1">
              <w:r>
                <w:rPr>
                  <w:rStyle w:val="Hyperlink"/>
                </w:rPr>
                <w:t>https://itunes.apple.com/us/podcast/on-subrogation/id1440520250?mt=2&amp;i=1000429359945</w:t>
              </w:r>
            </w:hyperlink>
          </w:p>
          <w:p w:rsidR="002E531D" w:rsidRDefault="002E531D" w:rsidP="002E531D">
            <w:pPr>
              <w:ind w:left="1422" w:right="1462"/>
            </w:pPr>
          </w:p>
          <w:p w:rsidR="002E531D" w:rsidRDefault="002E531D" w:rsidP="002E531D">
            <w:pPr>
              <w:ind w:left="1422" w:right="1462"/>
            </w:pPr>
            <w:r>
              <w:t xml:space="preserve">You can also find it for download on Google Play, </w:t>
            </w:r>
            <w:proofErr w:type="spellStart"/>
            <w:r>
              <w:t>Stitcher</w:t>
            </w:r>
            <w:proofErr w:type="spellEnd"/>
            <w:r>
              <w:t>, and other sites where podcasts are uploaded by searching for “On Subrogation”.</w:t>
            </w:r>
            <w:r w:rsidR="002B2562">
              <w:t xml:space="preserve"> It will also be uploaded on YouTube at a later date.</w:t>
            </w:r>
          </w:p>
          <w:p w:rsidR="0004785F" w:rsidRDefault="0004785F" w:rsidP="004F3078">
            <w:pPr>
              <w:ind w:left="1440" w:right="1440"/>
              <w:jc w:val="both"/>
            </w:pPr>
          </w:p>
          <w:p w:rsidR="00CE6D75" w:rsidRPr="00CE6D75" w:rsidRDefault="00D30A84" w:rsidP="00B7104C">
            <w:pPr>
              <w:ind w:left="1440" w:right="1458"/>
              <w:jc w:val="both"/>
              <w:rPr>
                <w:b/>
              </w:rPr>
            </w:pPr>
            <w:r w:rsidRPr="001C30A8">
              <w:rPr>
                <w:b/>
              </w:rPr>
              <w:t>Case Study</w:t>
            </w:r>
            <w:r w:rsidRPr="00CC247A">
              <w:t xml:space="preserve"> </w:t>
            </w:r>
            <w:r w:rsidR="00926266">
              <w:rPr>
                <w:noProof/>
              </w:rPr>
              <w:drawing>
                <wp:inline distT="0" distB="0" distL="0" distR="0">
                  <wp:extent cx="3762375" cy="28575"/>
                  <wp:effectExtent l="0" t="0" r="0" b="0"/>
                  <wp:docPr id="4" name="Picture 4" descr="Line - Case Stud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ine - Case Stud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2375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59BC" w:rsidRPr="00A659BC" w:rsidRDefault="00A659BC" w:rsidP="00A659BC">
            <w:pPr>
              <w:ind w:left="1440" w:right="1440"/>
              <w:jc w:val="center"/>
              <w:rPr>
                <w:b/>
                <w:bCs/>
              </w:rPr>
            </w:pPr>
          </w:p>
          <w:p w:rsidR="00956CA6" w:rsidRPr="00956CA6" w:rsidRDefault="00BF344B" w:rsidP="00956CA6">
            <w:pPr>
              <w:ind w:left="1440" w:right="14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Phase Identification and Crystallite Size Measurement Using X-ray Diffraction</w:t>
            </w:r>
          </w:p>
          <w:p w:rsidR="00956CA6" w:rsidRPr="00956CA6" w:rsidRDefault="00956CA6" w:rsidP="00956CA6">
            <w:pPr>
              <w:ind w:left="1440" w:right="1440"/>
              <w:jc w:val="both"/>
              <w:rPr>
                <w:b/>
                <w:bCs/>
              </w:rPr>
            </w:pPr>
          </w:p>
          <w:p w:rsidR="00BF344B" w:rsidRDefault="00BF344B" w:rsidP="00BF344B">
            <w:pPr>
              <w:ind w:left="1422" w:right="1462"/>
              <w:jc w:val="both"/>
            </w:pPr>
            <w:r w:rsidRPr="004B63BF">
              <w:t xml:space="preserve">X-ray diffraction (XRD) is a non-destructive characterization technique which can be used for the identification and structural characterization of </w:t>
            </w:r>
            <w:r>
              <w:t xml:space="preserve">single crystal and </w:t>
            </w:r>
            <w:r w:rsidRPr="004B63BF">
              <w:t xml:space="preserve">polycrystalline materials.  A surprisingly large number of materials fall into this category – metals, ceramics, salts, some polymers, semiconductors, and even table sugar.  </w:t>
            </w:r>
            <w:r>
              <w:t>Unknown compounds</w:t>
            </w:r>
            <w:r w:rsidRPr="004B63BF">
              <w:t xml:space="preserve"> can be identified by comparing a sample’s diffraction pattern to a library of patterns measured from over </w:t>
            </w:r>
            <w:r>
              <w:t>4</w:t>
            </w:r>
            <w:r w:rsidRPr="004B63BF">
              <w:t>00,000 materials. The peak positions, widths, shapes, and relative intensities of an x-ray diffraction pattern</w:t>
            </w:r>
            <w:r>
              <w:t xml:space="preserve"> all give additional information about </w:t>
            </w:r>
            <w:r w:rsidRPr="004B63BF">
              <w:t>the solid-state structure</w:t>
            </w:r>
            <w:r>
              <w:t xml:space="preserve"> and composition. X-ray diffraction is a powerful tool for many industries and applications, such as</w:t>
            </w:r>
            <w:r w:rsidRPr="004B63BF">
              <w:t xml:space="preserve"> identifying mineral compositions of geological samples, measuring phase purity for quality control, or distinguishing between phases with identical chemical compositions such as austenite and ferrite in steel. </w:t>
            </w:r>
          </w:p>
          <w:p w:rsidR="00587795" w:rsidRPr="004B63BF" w:rsidRDefault="00587795" w:rsidP="00BF344B">
            <w:pPr>
              <w:ind w:left="1422" w:right="1462"/>
              <w:jc w:val="both"/>
            </w:pPr>
          </w:p>
          <w:p w:rsidR="00BF344B" w:rsidRPr="004B63BF" w:rsidRDefault="00926266" w:rsidP="00BF344B">
            <w:pPr>
              <w:keepNext/>
              <w:ind w:left="1422" w:right="146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905375" cy="3505200"/>
                  <wp:effectExtent l="0" t="0" r="0" b="0"/>
                  <wp:docPr id="5" name="Picture 1" descr="C:\Users\Rebecca Tissot\Documents\Rigaku SmartLab\Commissioning\Particle Size - Alumina Powder Diffraction\Alumina Particle Diffraction Patter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ebecca Tissot\Documents\Rigaku SmartLab\Commissioning\Particle Size - Alumina Powder Diffraction\Alumina Particle Diffraction Pattern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8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5375" cy="350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344B" w:rsidRPr="00125AF0" w:rsidRDefault="00BF344B" w:rsidP="00587795">
            <w:pPr>
              <w:pStyle w:val="Caption"/>
              <w:spacing w:line="240" w:lineRule="auto"/>
              <w:ind w:left="1422" w:right="1462"/>
              <w:jc w:val="center"/>
              <w:rPr>
                <w:b/>
                <w:szCs w:val="24"/>
              </w:rPr>
            </w:pPr>
            <w:r w:rsidRPr="00125AF0">
              <w:rPr>
                <w:szCs w:val="24"/>
              </w:rPr>
              <w:t xml:space="preserve">Figure </w:t>
            </w:r>
            <w:r w:rsidRPr="00125AF0">
              <w:rPr>
                <w:b/>
                <w:szCs w:val="24"/>
              </w:rPr>
              <w:fldChar w:fldCharType="begin"/>
            </w:r>
            <w:r w:rsidRPr="00125AF0">
              <w:rPr>
                <w:szCs w:val="24"/>
              </w:rPr>
              <w:instrText xml:space="preserve"> SEQ Figure \* ARABIC </w:instrText>
            </w:r>
            <w:r w:rsidRPr="00125AF0">
              <w:rPr>
                <w:b/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1</w:t>
            </w:r>
            <w:r w:rsidRPr="00125AF0">
              <w:rPr>
                <w:b/>
                <w:szCs w:val="24"/>
              </w:rPr>
              <w:fldChar w:fldCharType="end"/>
            </w:r>
            <w:r w:rsidRPr="00125AF0">
              <w:rPr>
                <w:szCs w:val="24"/>
              </w:rPr>
              <w:t>. X-ray diffraction patterns of 1</w:t>
            </w:r>
            <w:r w:rsidR="00587795">
              <w:rPr>
                <w:szCs w:val="24"/>
              </w:rPr>
              <w:t xml:space="preserve"> </w:t>
            </w:r>
            <w:r w:rsidRPr="00125AF0">
              <w:rPr>
                <w:szCs w:val="24"/>
              </w:rPr>
              <w:t xml:space="preserve">µm, 300 nm, and 50 nm </w:t>
            </w:r>
            <w:r>
              <w:rPr>
                <w:szCs w:val="24"/>
              </w:rPr>
              <w:t>alumina</w:t>
            </w:r>
            <w:r w:rsidRPr="00125AF0">
              <w:rPr>
                <w:szCs w:val="24"/>
              </w:rPr>
              <w:t xml:space="preserve"> powders (top)</w:t>
            </w:r>
            <w:r>
              <w:rPr>
                <w:szCs w:val="24"/>
              </w:rPr>
              <w:t xml:space="preserve"> and</w:t>
            </w:r>
            <w:r w:rsidR="00587795">
              <w:rPr>
                <w:szCs w:val="24"/>
              </w:rPr>
              <w:t xml:space="preserve"> x</w:t>
            </w:r>
            <w:r w:rsidRPr="00125AF0">
              <w:rPr>
                <w:szCs w:val="24"/>
              </w:rPr>
              <w:t xml:space="preserve">-ray diffraction pattern </w:t>
            </w:r>
            <w:r>
              <w:rPr>
                <w:szCs w:val="24"/>
              </w:rPr>
              <w:t xml:space="preserve">of corundum </w:t>
            </w:r>
            <w:r w:rsidRPr="00125AF0">
              <w:rPr>
                <w:szCs w:val="24"/>
              </w:rPr>
              <w:t>from database of standard diffraction patterns (bottom).</w:t>
            </w:r>
          </w:p>
          <w:p w:rsidR="00BF344B" w:rsidRPr="004B63BF" w:rsidRDefault="00BF344B" w:rsidP="00BF344B">
            <w:pPr>
              <w:ind w:left="1422" w:right="1462"/>
              <w:jc w:val="both"/>
            </w:pPr>
            <w:r w:rsidRPr="00125AF0">
              <w:t xml:space="preserve">The XRD patterns </w:t>
            </w:r>
            <w:r>
              <w:t>of alumina</w:t>
            </w:r>
            <w:r w:rsidRPr="00125AF0">
              <w:t xml:space="preserve"> polishing powders with nominal particle sizes of 1µm, 300 nm, and 50 nm were measured </w:t>
            </w:r>
            <w:r>
              <w:t>using</w:t>
            </w:r>
            <w:r w:rsidRPr="00125AF0">
              <w:t xml:space="preserve"> </w:t>
            </w:r>
            <w:r w:rsidRPr="004B63BF">
              <w:t xml:space="preserve">Rigaku </w:t>
            </w:r>
            <w:proofErr w:type="spellStart"/>
            <w:r w:rsidRPr="004B63BF">
              <w:t>SmartLab</w:t>
            </w:r>
            <w:proofErr w:type="spellEnd"/>
            <w:r>
              <w:t xml:space="preserve"> X-Ray Diffractometer</w:t>
            </w:r>
            <w:r w:rsidRPr="004B63BF">
              <w:t xml:space="preserve">. </w:t>
            </w:r>
            <w:r>
              <w:t xml:space="preserve"> </w:t>
            </w:r>
            <w:r w:rsidRPr="00CF0277">
              <w:t xml:space="preserve">Figure 1 shows the experimental </w:t>
            </w:r>
            <w:r>
              <w:t>results</w:t>
            </w:r>
            <w:r w:rsidRPr="00CF0277">
              <w:t xml:space="preserve"> from </w:t>
            </w:r>
            <w:r>
              <w:t xml:space="preserve">the </w:t>
            </w:r>
            <w:r w:rsidRPr="00CF0277">
              <w:t xml:space="preserve">three samples </w:t>
            </w:r>
            <w:r>
              <w:t xml:space="preserve">in comparison </w:t>
            </w:r>
            <w:r w:rsidRPr="00CF0277">
              <w:t xml:space="preserve">with the reference pattern </w:t>
            </w:r>
            <w:r>
              <w:t xml:space="preserve">for corundum </w:t>
            </w:r>
            <w:r w:rsidRPr="00CF0277">
              <w:t xml:space="preserve">from </w:t>
            </w:r>
            <w:r>
              <w:t>a</w:t>
            </w:r>
            <w:r w:rsidRPr="00CF0277">
              <w:t xml:space="preserve"> diffraction file database.  </w:t>
            </w:r>
            <w:r>
              <w:t>It can be seen that the peak positions and intensities of the 1</w:t>
            </w:r>
            <w:r w:rsidR="00587795">
              <w:t xml:space="preserve"> </w:t>
            </w:r>
            <w:r>
              <w:t>µm and 300 nm particles match those of corundum, the same form of Al</w:t>
            </w:r>
            <w:r w:rsidRPr="00DD6A65">
              <w:rPr>
                <w:vertAlign w:val="subscript"/>
              </w:rPr>
              <w:t>2</w:t>
            </w:r>
            <w:r>
              <w:t>O</w:t>
            </w:r>
            <w:r w:rsidRPr="00DD6A65">
              <w:rPr>
                <w:vertAlign w:val="subscript"/>
              </w:rPr>
              <w:t>3</w:t>
            </w:r>
            <w:r>
              <w:t xml:space="preserve"> as in ruby and sapphire.  </w:t>
            </w:r>
            <w:r w:rsidRPr="004B63BF">
              <w:t>The 50 nm particles have distinctly different diffraction pattern from the 300 nm and 1µm particle samples.  The increased peak width is a result of th</w:t>
            </w:r>
            <w:r>
              <w:t>e reduction in crystallite size.</w:t>
            </w:r>
            <w:r w:rsidRPr="004B63BF">
              <w:t xml:space="preserve"> </w:t>
            </w:r>
            <w:r>
              <w:t>The missing and shifted peaks</w:t>
            </w:r>
            <w:r w:rsidRPr="004B63BF">
              <w:t xml:space="preserve"> indicat</w:t>
            </w:r>
            <w:r>
              <w:t>e</w:t>
            </w:r>
            <w:r w:rsidRPr="004B63BF">
              <w:t xml:space="preserve"> that </w:t>
            </w:r>
            <w:r>
              <w:t xml:space="preserve">the </w:t>
            </w:r>
            <w:r w:rsidRPr="004B63BF">
              <w:t>structure</w:t>
            </w:r>
            <w:r>
              <w:t xml:space="preserve"> has been significantly altered from perfect corundum.  While chemically it may still be alumina, the structure might have more imperfections, damages or</w:t>
            </w:r>
            <w:r w:rsidRPr="004B63BF">
              <w:t xml:space="preserve"> plastic deformation.  Plastic deformation in crystals is accommodated by cracks, voids, and strain, all of which produce peak shifts and broadening as seen in the 50 nm sample. </w:t>
            </w:r>
          </w:p>
          <w:p w:rsidR="00587795" w:rsidRDefault="00587795" w:rsidP="00BF344B">
            <w:pPr>
              <w:ind w:left="1422" w:right="1462"/>
              <w:jc w:val="both"/>
            </w:pPr>
          </w:p>
          <w:p w:rsidR="00BF344B" w:rsidRPr="004B63BF" w:rsidRDefault="00BF344B" w:rsidP="00BF344B">
            <w:pPr>
              <w:ind w:left="1422" w:right="1462"/>
              <w:jc w:val="both"/>
            </w:pPr>
            <w:r w:rsidRPr="004B63BF">
              <w:t xml:space="preserve">In addition to peak positions and intensities, the width of the diffraction peaks also yields information about the sample’s </w:t>
            </w:r>
            <w:r>
              <w:t>micro</w:t>
            </w:r>
            <w:r w:rsidRPr="004B63BF">
              <w:t xml:space="preserve">structure.  The crystallite size and </w:t>
            </w:r>
            <w:proofErr w:type="spellStart"/>
            <w:r w:rsidRPr="004B63BF">
              <w:t>microstrain</w:t>
            </w:r>
            <w:proofErr w:type="spellEnd"/>
            <w:r w:rsidRPr="004B63BF">
              <w:t xml:space="preserve"> have different dependencies on the x-ray scattering angle.  Figure 2 shows a Halder-Wagner plot used to independently measure the strain and crystallite size of the sample.  </w:t>
            </w:r>
          </w:p>
          <w:p w:rsidR="00BF344B" w:rsidRPr="004B63BF" w:rsidRDefault="00926266" w:rsidP="00BF344B">
            <w:pPr>
              <w:keepNext/>
              <w:ind w:left="1422" w:right="146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895600" cy="2066925"/>
                  <wp:effectExtent l="0" t="0" r="0" b="0"/>
                  <wp:docPr id="6" name="Picture 2" descr="C:\Users\Rebecca Tissot\Documents\Rigaku SmartLab\Commissioning\Particle Size - Alumina Powder Diffraction\crystallite size analysi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ebecca Tissot\Documents\Rigaku SmartLab\Commissioning\Particle Size - Alumina Powder Diffraction\crystallite size analysi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6838" r="118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344B" w:rsidRPr="004B63BF" w:rsidRDefault="00BF344B" w:rsidP="00BF344B">
            <w:pPr>
              <w:pStyle w:val="Caption"/>
              <w:ind w:left="1422" w:right="1462"/>
              <w:jc w:val="center"/>
              <w:rPr>
                <w:b/>
                <w:szCs w:val="24"/>
              </w:rPr>
            </w:pPr>
            <w:r w:rsidRPr="004B63BF">
              <w:rPr>
                <w:szCs w:val="24"/>
              </w:rPr>
              <w:t xml:space="preserve">Figure </w:t>
            </w:r>
            <w:r w:rsidRPr="004B63BF">
              <w:rPr>
                <w:b/>
                <w:szCs w:val="24"/>
              </w:rPr>
              <w:fldChar w:fldCharType="begin"/>
            </w:r>
            <w:r w:rsidRPr="004B63BF">
              <w:rPr>
                <w:szCs w:val="24"/>
              </w:rPr>
              <w:instrText xml:space="preserve"> SEQ Figure \* ARABIC </w:instrText>
            </w:r>
            <w:r w:rsidRPr="004B63BF">
              <w:rPr>
                <w:b/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2</w:t>
            </w:r>
            <w:r w:rsidRPr="004B63BF">
              <w:rPr>
                <w:b/>
                <w:szCs w:val="24"/>
              </w:rPr>
              <w:fldChar w:fldCharType="end"/>
            </w:r>
            <w:r w:rsidRPr="004B63BF">
              <w:rPr>
                <w:szCs w:val="24"/>
              </w:rPr>
              <w:t xml:space="preserve">. Halder-Wagner plot for </w:t>
            </w:r>
            <w:r>
              <w:rPr>
                <w:szCs w:val="24"/>
              </w:rPr>
              <w:t xml:space="preserve">the XRD pattern from </w:t>
            </w:r>
            <w:r w:rsidRPr="004B63BF">
              <w:rPr>
                <w:szCs w:val="24"/>
              </w:rPr>
              <w:t>1 µm sized</w:t>
            </w:r>
            <w:r>
              <w:rPr>
                <w:szCs w:val="24"/>
              </w:rPr>
              <w:t xml:space="preserve"> alumina</w:t>
            </w:r>
            <w:r w:rsidRPr="004B63BF">
              <w:rPr>
                <w:szCs w:val="24"/>
              </w:rPr>
              <w:t xml:space="preserve"> particles.</w:t>
            </w:r>
            <w:r>
              <w:rPr>
                <w:szCs w:val="24"/>
              </w:rPr>
              <w:t xml:space="preserve"> </w:t>
            </w:r>
          </w:p>
          <w:p w:rsidR="00BF344B" w:rsidRDefault="00BF344B" w:rsidP="00BF344B">
            <w:pPr>
              <w:ind w:left="1422" w:right="1462"/>
              <w:contextualSpacing/>
              <w:jc w:val="both"/>
            </w:pPr>
            <w:r w:rsidRPr="004B63BF">
              <w:t xml:space="preserve">Table 1 shows the results of the size and strain analysis for the three samples.  </w:t>
            </w:r>
            <w:r w:rsidRPr="002423AA">
              <w:t xml:space="preserve">Grain size plays a role in nearly every important material property, such as hardness, ductility, diffusion rates, resistance to corrosion, electronic conduction, and magnetic properties.  </w:t>
            </w:r>
            <w:r w:rsidRPr="004B63BF">
              <w:t>The high density of grain boundaries in the</w:t>
            </w:r>
            <w:r>
              <w:t xml:space="preserve"> </w:t>
            </w:r>
            <w:r w:rsidRPr="004B63BF">
              <w:t xml:space="preserve">50 nm particles is likely to make them harder (requires more force to induce plastic deformation) than the particles with larger crystallite size.  Since it takes more energy to move a dislocation across a grain boundary than through the middle of a grain, decreasing the grain size generally increases the hardness of materials.  </w:t>
            </w:r>
          </w:p>
          <w:p w:rsidR="00BF344B" w:rsidRPr="004B63BF" w:rsidRDefault="00BF344B" w:rsidP="00BF344B">
            <w:pPr>
              <w:ind w:left="1422" w:right="1462"/>
              <w:contextualSpacing/>
              <w:jc w:val="both"/>
            </w:pPr>
          </w:p>
          <w:p w:rsidR="00BF344B" w:rsidRPr="004B63BF" w:rsidRDefault="00BF344B" w:rsidP="00BF344B">
            <w:pPr>
              <w:widowControl w:val="0"/>
              <w:autoSpaceDE w:val="0"/>
              <w:autoSpaceDN w:val="0"/>
              <w:adjustRightInd w:val="0"/>
              <w:spacing w:before="100" w:after="100"/>
              <w:ind w:left="1422" w:right="1462"/>
              <w:jc w:val="center"/>
            </w:pPr>
            <w:r w:rsidRPr="004B63BF">
              <w:t xml:space="preserve">Table 1 Average Crystallite Size and Lattice Strain of Polishing </w:t>
            </w:r>
            <w:r>
              <w:t xml:space="preserve">Alumina </w:t>
            </w:r>
            <w:r w:rsidRPr="004B63BF">
              <w:t xml:space="preserve">Powders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23"/>
              <w:gridCol w:w="2221"/>
              <w:gridCol w:w="784"/>
            </w:tblGrid>
            <w:tr w:rsidR="00BF344B" w:rsidRPr="004B63BF" w:rsidTr="00924F00">
              <w:trPr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BF344B" w:rsidRPr="003357C5" w:rsidRDefault="00BF344B" w:rsidP="00924F00">
                  <w:pPr>
                    <w:framePr w:hSpace="180" w:wrap="around" w:vAnchor="text" w:hAnchor="text" w:xAlign="center" w:y="1"/>
                    <w:widowControl w:val="0"/>
                    <w:autoSpaceDE w:val="0"/>
                    <w:autoSpaceDN w:val="0"/>
                    <w:adjustRightInd w:val="0"/>
                    <w:spacing w:before="40" w:after="40"/>
                    <w:suppressOverlap/>
                    <w:jc w:val="center"/>
                    <w:rPr>
                      <w:rFonts w:eastAsia="Calibri"/>
                    </w:rPr>
                  </w:pPr>
                  <w:r w:rsidRPr="003357C5">
                    <w:rPr>
                      <w:rFonts w:eastAsia="Calibri"/>
                    </w:rPr>
                    <w:t>Particle Size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BF344B" w:rsidRPr="003357C5" w:rsidRDefault="00587795" w:rsidP="00924F00">
                  <w:pPr>
                    <w:framePr w:hSpace="180" w:wrap="around" w:vAnchor="text" w:hAnchor="text" w:xAlign="center" w:y="1"/>
                    <w:widowControl w:val="0"/>
                    <w:autoSpaceDE w:val="0"/>
                    <w:autoSpaceDN w:val="0"/>
                    <w:adjustRightInd w:val="0"/>
                    <w:spacing w:before="40" w:after="40"/>
                    <w:ind w:right="5"/>
                    <w:suppressOverlap/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 xml:space="preserve">Crystallite </w:t>
                  </w:r>
                  <w:r w:rsidR="00BF344B" w:rsidRPr="003357C5">
                    <w:rPr>
                      <w:rFonts w:eastAsia="Calibri"/>
                    </w:rPr>
                    <w:t>Size (nm)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BF344B" w:rsidRPr="003357C5" w:rsidRDefault="00BF344B" w:rsidP="00924F00">
                  <w:pPr>
                    <w:framePr w:hSpace="180" w:wrap="around" w:vAnchor="text" w:hAnchor="text" w:xAlign="center" w:y="1"/>
                    <w:widowControl w:val="0"/>
                    <w:autoSpaceDE w:val="0"/>
                    <w:autoSpaceDN w:val="0"/>
                    <w:adjustRightInd w:val="0"/>
                    <w:spacing w:before="40" w:after="40"/>
                    <w:ind w:right="-6"/>
                    <w:suppressOverlap/>
                    <w:jc w:val="center"/>
                    <w:rPr>
                      <w:rFonts w:eastAsia="Calibri"/>
                    </w:rPr>
                  </w:pPr>
                  <w:r w:rsidRPr="003357C5">
                    <w:rPr>
                      <w:rFonts w:eastAsia="Calibri"/>
                    </w:rPr>
                    <w:t>Strain</w:t>
                  </w:r>
                </w:p>
              </w:tc>
            </w:tr>
            <w:tr w:rsidR="00BF344B" w:rsidRPr="004B63BF" w:rsidTr="00924F00">
              <w:trPr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BF344B" w:rsidRPr="003357C5" w:rsidRDefault="00BF344B" w:rsidP="00924F00">
                  <w:pPr>
                    <w:framePr w:hSpace="180" w:wrap="around" w:vAnchor="text" w:hAnchor="text" w:xAlign="center" w:y="1"/>
                    <w:widowControl w:val="0"/>
                    <w:autoSpaceDE w:val="0"/>
                    <w:autoSpaceDN w:val="0"/>
                    <w:adjustRightInd w:val="0"/>
                    <w:spacing w:before="40" w:after="40"/>
                    <w:suppressOverlap/>
                    <w:jc w:val="center"/>
                    <w:rPr>
                      <w:rFonts w:eastAsia="Calibri"/>
                    </w:rPr>
                  </w:pPr>
                  <w:r w:rsidRPr="003357C5">
                    <w:rPr>
                      <w:rFonts w:eastAsia="Calibri"/>
                    </w:rPr>
                    <w:t>50 nm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BF344B" w:rsidRPr="003357C5" w:rsidRDefault="00BF344B" w:rsidP="00924F00">
                  <w:pPr>
                    <w:framePr w:hSpace="180" w:wrap="around" w:vAnchor="text" w:hAnchor="text" w:xAlign="center" w:y="1"/>
                    <w:widowControl w:val="0"/>
                    <w:autoSpaceDE w:val="0"/>
                    <w:autoSpaceDN w:val="0"/>
                    <w:adjustRightInd w:val="0"/>
                    <w:spacing w:before="40" w:after="40"/>
                    <w:ind w:right="5"/>
                    <w:suppressOverlap/>
                    <w:jc w:val="center"/>
                    <w:rPr>
                      <w:rFonts w:eastAsia="Calibri"/>
                    </w:rPr>
                  </w:pPr>
                  <w:r w:rsidRPr="003357C5">
                    <w:rPr>
                      <w:rFonts w:eastAsia="Calibri"/>
                    </w:rPr>
                    <w:t>2.14 ± 1.8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BF344B" w:rsidRPr="003357C5" w:rsidRDefault="00BF344B" w:rsidP="00924F00">
                  <w:pPr>
                    <w:framePr w:hSpace="180" w:wrap="around" w:vAnchor="text" w:hAnchor="text" w:xAlign="center" w:y="1"/>
                    <w:widowControl w:val="0"/>
                    <w:autoSpaceDE w:val="0"/>
                    <w:autoSpaceDN w:val="0"/>
                    <w:adjustRightInd w:val="0"/>
                    <w:spacing w:before="40" w:after="40"/>
                    <w:ind w:right="-6"/>
                    <w:suppressOverlap/>
                    <w:jc w:val="center"/>
                    <w:rPr>
                      <w:rFonts w:eastAsia="Calibri"/>
                    </w:rPr>
                  </w:pPr>
                  <w:r w:rsidRPr="003357C5">
                    <w:rPr>
                      <w:rFonts w:eastAsia="Calibri"/>
                    </w:rPr>
                    <w:t>0%</w:t>
                  </w:r>
                </w:p>
              </w:tc>
            </w:tr>
            <w:tr w:rsidR="00BF344B" w:rsidRPr="004B63BF" w:rsidTr="00924F00">
              <w:trPr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BF344B" w:rsidRPr="003357C5" w:rsidRDefault="00BF344B" w:rsidP="00924F00">
                  <w:pPr>
                    <w:framePr w:hSpace="180" w:wrap="around" w:vAnchor="text" w:hAnchor="text" w:xAlign="center" w:y="1"/>
                    <w:widowControl w:val="0"/>
                    <w:autoSpaceDE w:val="0"/>
                    <w:autoSpaceDN w:val="0"/>
                    <w:adjustRightInd w:val="0"/>
                    <w:spacing w:before="40" w:after="40"/>
                    <w:suppressOverlap/>
                    <w:jc w:val="center"/>
                    <w:rPr>
                      <w:rFonts w:eastAsia="Calibri"/>
                    </w:rPr>
                  </w:pPr>
                  <w:r w:rsidRPr="003357C5">
                    <w:rPr>
                      <w:rFonts w:eastAsia="Calibri"/>
                    </w:rPr>
                    <w:t>300 nm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BF344B" w:rsidRPr="003357C5" w:rsidRDefault="00BF344B" w:rsidP="00924F00">
                  <w:pPr>
                    <w:framePr w:hSpace="180" w:wrap="around" w:vAnchor="text" w:hAnchor="text" w:xAlign="center" w:y="1"/>
                    <w:widowControl w:val="0"/>
                    <w:autoSpaceDE w:val="0"/>
                    <w:autoSpaceDN w:val="0"/>
                    <w:adjustRightInd w:val="0"/>
                    <w:spacing w:before="40" w:after="40"/>
                    <w:ind w:right="5"/>
                    <w:suppressOverlap/>
                    <w:jc w:val="center"/>
                    <w:rPr>
                      <w:rFonts w:eastAsia="Calibri"/>
                    </w:rPr>
                  </w:pPr>
                  <w:r w:rsidRPr="003357C5">
                    <w:rPr>
                      <w:rFonts w:eastAsia="Calibri"/>
                    </w:rPr>
                    <w:t>33.5 ± 0.6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BF344B" w:rsidRPr="003357C5" w:rsidRDefault="00BF344B" w:rsidP="00924F00">
                  <w:pPr>
                    <w:framePr w:hSpace="180" w:wrap="around" w:vAnchor="text" w:hAnchor="text" w:xAlign="center" w:y="1"/>
                    <w:widowControl w:val="0"/>
                    <w:autoSpaceDE w:val="0"/>
                    <w:autoSpaceDN w:val="0"/>
                    <w:adjustRightInd w:val="0"/>
                    <w:spacing w:before="40" w:after="40"/>
                    <w:ind w:right="-6"/>
                    <w:suppressOverlap/>
                    <w:jc w:val="center"/>
                    <w:rPr>
                      <w:rFonts w:eastAsia="Calibri"/>
                    </w:rPr>
                  </w:pPr>
                  <w:r w:rsidRPr="003357C5">
                    <w:rPr>
                      <w:rFonts w:eastAsia="Calibri"/>
                    </w:rPr>
                    <w:t>0%</w:t>
                  </w:r>
                </w:p>
              </w:tc>
            </w:tr>
            <w:tr w:rsidR="00BF344B" w:rsidRPr="004B63BF" w:rsidTr="00924F00">
              <w:trPr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BF344B" w:rsidRPr="003357C5" w:rsidRDefault="00BF344B" w:rsidP="00924F00">
                  <w:pPr>
                    <w:framePr w:hSpace="180" w:wrap="around" w:vAnchor="text" w:hAnchor="text" w:xAlign="center" w:y="1"/>
                    <w:widowControl w:val="0"/>
                    <w:autoSpaceDE w:val="0"/>
                    <w:autoSpaceDN w:val="0"/>
                    <w:adjustRightInd w:val="0"/>
                    <w:spacing w:before="40" w:after="40"/>
                    <w:suppressOverlap/>
                    <w:jc w:val="center"/>
                    <w:rPr>
                      <w:rFonts w:eastAsia="Calibri"/>
                    </w:rPr>
                  </w:pPr>
                  <w:r w:rsidRPr="003357C5">
                    <w:rPr>
                      <w:rFonts w:eastAsia="Calibri"/>
                    </w:rPr>
                    <w:t>1 µm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BF344B" w:rsidRPr="003357C5" w:rsidRDefault="00BF344B" w:rsidP="00924F00">
                  <w:pPr>
                    <w:framePr w:hSpace="180" w:wrap="around" w:vAnchor="text" w:hAnchor="text" w:xAlign="center" w:y="1"/>
                    <w:widowControl w:val="0"/>
                    <w:autoSpaceDE w:val="0"/>
                    <w:autoSpaceDN w:val="0"/>
                    <w:adjustRightInd w:val="0"/>
                    <w:spacing w:before="40" w:after="40"/>
                    <w:ind w:right="5"/>
                    <w:suppressOverlap/>
                    <w:jc w:val="center"/>
                    <w:rPr>
                      <w:rFonts w:eastAsia="Calibri"/>
                    </w:rPr>
                  </w:pPr>
                  <w:r w:rsidRPr="003357C5">
                    <w:rPr>
                      <w:rFonts w:eastAsia="Calibri"/>
                    </w:rPr>
                    <w:t>44.7 ± 0.2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BF344B" w:rsidRPr="003357C5" w:rsidRDefault="00BF344B" w:rsidP="00924F00">
                  <w:pPr>
                    <w:framePr w:hSpace="180" w:wrap="around" w:vAnchor="text" w:hAnchor="text" w:xAlign="center" w:y="1"/>
                    <w:widowControl w:val="0"/>
                    <w:autoSpaceDE w:val="0"/>
                    <w:autoSpaceDN w:val="0"/>
                    <w:adjustRightInd w:val="0"/>
                    <w:spacing w:before="40" w:after="40"/>
                    <w:ind w:right="-6"/>
                    <w:suppressOverlap/>
                    <w:jc w:val="center"/>
                    <w:rPr>
                      <w:rFonts w:eastAsia="Calibri"/>
                    </w:rPr>
                  </w:pPr>
                  <w:r w:rsidRPr="003357C5">
                    <w:rPr>
                      <w:rFonts w:eastAsia="Calibri"/>
                    </w:rPr>
                    <w:t>0%</w:t>
                  </w:r>
                </w:p>
              </w:tc>
              <w:bookmarkStart w:id="0" w:name="_GoBack"/>
              <w:bookmarkEnd w:id="0"/>
            </w:tr>
          </w:tbl>
          <w:p w:rsidR="007279A4" w:rsidRPr="007279A4" w:rsidRDefault="007279A4" w:rsidP="00BF344B">
            <w:pPr>
              <w:ind w:left="1422" w:right="1440"/>
              <w:jc w:val="both"/>
              <w:rPr>
                <w:bCs/>
              </w:rPr>
            </w:pPr>
          </w:p>
          <w:p w:rsidR="00D30A84" w:rsidRDefault="00926266" w:rsidP="00F621C5">
            <w:pPr>
              <w:ind w:left="1440" w:right="1440"/>
            </w:pPr>
            <w:r>
              <w:rPr>
                <w:noProof/>
              </w:rPr>
              <w:drawing>
                <wp:inline distT="0" distB="0" distL="0" distR="0">
                  <wp:extent cx="8286750" cy="28575"/>
                  <wp:effectExtent l="0" t="0" r="0" b="0"/>
                  <wp:docPr id="7" name="Picture 7" descr="Line - Foo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ine - Foo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0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0A84" w:rsidRDefault="00D30A84" w:rsidP="00B80786">
            <w:pPr>
              <w:ind w:left="1440" w:right="1440"/>
              <w:jc w:val="center"/>
            </w:pPr>
            <w:r>
              <w:t xml:space="preserve">To subscribe or unsubscribe to this newsletter, contact </w:t>
            </w:r>
            <w:hyperlink r:id="rId17" w:history="1">
              <w:r w:rsidRPr="00D75B30">
                <w:rPr>
                  <w:rStyle w:val="Hyperlink"/>
                </w:rPr>
                <w:t>info@ebatco.com</w:t>
              </w:r>
            </w:hyperlink>
            <w:r>
              <w:t>.</w:t>
            </w:r>
          </w:p>
          <w:p w:rsidR="00D30A84" w:rsidRDefault="00926266" w:rsidP="00B80786">
            <w:pPr>
              <w:ind w:left="1440" w:right="14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8286750" cy="28575"/>
                  <wp:effectExtent l="0" t="0" r="0" b="0"/>
                  <wp:docPr id="8" name="Picture 8" descr="Line - Foo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ine - Foo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0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0A84" w:rsidRDefault="00D30A84" w:rsidP="00B80786">
            <w:pPr>
              <w:ind w:left="1440" w:right="14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0A84" w:rsidRDefault="00D30A84" w:rsidP="00B80786">
            <w:pPr>
              <w:ind w:left="1440" w:right="14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Ebatco, </w:t>
            </w:r>
            <w:r w:rsidR="00F65E7C">
              <w:rPr>
                <w:rFonts w:ascii="Arial" w:hAnsi="Arial" w:cs="Arial"/>
                <w:sz w:val="20"/>
                <w:szCs w:val="20"/>
              </w:rPr>
              <w:t>10025 Valley View</w:t>
            </w:r>
            <w:r>
              <w:rPr>
                <w:rFonts w:ascii="Arial" w:hAnsi="Arial" w:cs="Arial"/>
                <w:sz w:val="20"/>
                <w:szCs w:val="20"/>
              </w:rPr>
              <w:t xml:space="preserve"> Road,</w:t>
            </w:r>
            <w:r w:rsidR="00F65E7C">
              <w:rPr>
                <w:rFonts w:ascii="Arial" w:hAnsi="Arial" w:cs="Arial"/>
                <w:sz w:val="20"/>
                <w:szCs w:val="20"/>
              </w:rPr>
              <w:t xml:space="preserve"> Suite 150,</w:t>
            </w:r>
            <w:r>
              <w:rPr>
                <w:rFonts w:ascii="Arial" w:hAnsi="Arial" w:cs="Arial"/>
                <w:sz w:val="20"/>
                <w:szCs w:val="20"/>
              </w:rPr>
              <w:t xml:space="preserve"> Eden Prairie, MN 55344</w:t>
            </w:r>
          </w:p>
          <w:p w:rsidR="00D30A84" w:rsidRPr="00B46154" w:rsidRDefault="00D30A84" w:rsidP="00B80786">
            <w:pPr>
              <w:ind w:left="1440" w:right="14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+1 952 746 8086 | </w:t>
            </w:r>
            <w:hyperlink r:id="rId18" w:history="1">
              <w:r w:rsidRPr="00B97A2B">
                <w:rPr>
                  <w:rStyle w:val="Hyperlink"/>
                  <w:rFonts w:ascii="Arial" w:hAnsi="Arial" w:cs="Arial"/>
                  <w:sz w:val="20"/>
                  <w:szCs w:val="20"/>
                </w:rPr>
                <w:t>info@ebatco.com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| </w:t>
            </w:r>
            <w:hyperlink r:id="rId19" w:history="1">
              <w:r w:rsidRPr="00B97A2B">
                <w:rPr>
                  <w:rStyle w:val="Hyperlink"/>
                  <w:rFonts w:ascii="Arial" w:hAnsi="Arial" w:cs="Arial"/>
                  <w:sz w:val="20"/>
                  <w:szCs w:val="20"/>
                </w:rPr>
                <w:t>www.ebatco.com</w:t>
              </w:r>
            </w:hyperlink>
          </w:p>
        </w:tc>
      </w:tr>
      <w:tr w:rsidR="00D30A84" w:rsidTr="00926266">
        <w:trPr>
          <w:trHeight w:val="80"/>
        </w:trPr>
        <w:tc>
          <w:tcPr>
            <w:tcW w:w="16150" w:type="dxa"/>
            <w:vAlign w:val="center"/>
          </w:tcPr>
          <w:p w:rsidR="00D30A84" w:rsidRDefault="00D30A84" w:rsidP="00B80786">
            <w:pPr>
              <w:tabs>
                <w:tab w:val="left" w:pos="7632"/>
                <w:tab w:val="left" w:pos="8037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30A84" w:rsidRDefault="00D30A84" w:rsidP="00A636B3">
      <w:pPr>
        <w:ind w:rightChars="1440" w:right="3456"/>
      </w:pPr>
    </w:p>
    <w:sectPr w:rsidR="00D30A84" w:rsidSect="004E4E9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30A9C"/>
    <w:multiLevelType w:val="hybridMultilevel"/>
    <w:tmpl w:val="35F08A4A"/>
    <w:lvl w:ilvl="0" w:tplc="0409000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469918F9"/>
    <w:multiLevelType w:val="hybridMultilevel"/>
    <w:tmpl w:val="A194222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57966405"/>
    <w:multiLevelType w:val="hybridMultilevel"/>
    <w:tmpl w:val="D10C573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67A568D4"/>
    <w:multiLevelType w:val="hybridMultilevel"/>
    <w:tmpl w:val="1D48A572"/>
    <w:lvl w:ilvl="0" w:tplc="0409000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092"/>
        </w:tabs>
        <w:ind w:left="7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812"/>
        </w:tabs>
        <w:ind w:left="78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532"/>
        </w:tabs>
        <w:ind w:left="8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252"/>
        </w:tabs>
        <w:ind w:left="9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972"/>
        </w:tabs>
        <w:ind w:left="99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692"/>
        </w:tabs>
        <w:ind w:left="10692" w:hanging="360"/>
      </w:pPr>
      <w:rPr>
        <w:rFonts w:ascii="Wingdings" w:hAnsi="Wingdings" w:hint="default"/>
      </w:rPr>
    </w:lvl>
  </w:abstractNum>
  <w:abstractNum w:abstractNumId="4">
    <w:nsid w:val="6E545BE9"/>
    <w:multiLevelType w:val="hybridMultilevel"/>
    <w:tmpl w:val="94F4CC6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>
    <w:nsid w:val="6F321575"/>
    <w:multiLevelType w:val="hybridMultilevel"/>
    <w:tmpl w:val="D69A764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7C243592"/>
    <w:multiLevelType w:val="hybridMultilevel"/>
    <w:tmpl w:val="9496B0D2"/>
    <w:lvl w:ilvl="0" w:tplc="F50435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gutterAtTop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eMai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26D"/>
    <w:rsid w:val="000004C1"/>
    <w:rsid w:val="000007A7"/>
    <w:rsid w:val="00000FD0"/>
    <w:rsid w:val="00001B30"/>
    <w:rsid w:val="0000223B"/>
    <w:rsid w:val="00002534"/>
    <w:rsid w:val="0000273B"/>
    <w:rsid w:val="00002BC2"/>
    <w:rsid w:val="00003866"/>
    <w:rsid w:val="000059D5"/>
    <w:rsid w:val="00013D80"/>
    <w:rsid w:val="00014F2B"/>
    <w:rsid w:val="00015E5C"/>
    <w:rsid w:val="00015FA1"/>
    <w:rsid w:val="00022BB4"/>
    <w:rsid w:val="000234F1"/>
    <w:rsid w:val="00023AE9"/>
    <w:rsid w:val="00024224"/>
    <w:rsid w:val="00025465"/>
    <w:rsid w:val="000259E3"/>
    <w:rsid w:val="00026D08"/>
    <w:rsid w:val="00027D03"/>
    <w:rsid w:val="00031850"/>
    <w:rsid w:val="00032D9D"/>
    <w:rsid w:val="00033F8B"/>
    <w:rsid w:val="00035548"/>
    <w:rsid w:val="00035F52"/>
    <w:rsid w:val="00036C0D"/>
    <w:rsid w:val="000411F7"/>
    <w:rsid w:val="000412C0"/>
    <w:rsid w:val="00041A0A"/>
    <w:rsid w:val="00044286"/>
    <w:rsid w:val="00044B80"/>
    <w:rsid w:val="000465E2"/>
    <w:rsid w:val="00046D06"/>
    <w:rsid w:val="0004785F"/>
    <w:rsid w:val="00047B61"/>
    <w:rsid w:val="00047E79"/>
    <w:rsid w:val="00050107"/>
    <w:rsid w:val="000543B3"/>
    <w:rsid w:val="000548C5"/>
    <w:rsid w:val="00054EF0"/>
    <w:rsid w:val="000615FA"/>
    <w:rsid w:val="0006179D"/>
    <w:rsid w:val="00061A30"/>
    <w:rsid w:val="000623AD"/>
    <w:rsid w:val="000636D9"/>
    <w:rsid w:val="000656A8"/>
    <w:rsid w:val="00066A55"/>
    <w:rsid w:val="00070505"/>
    <w:rsid w:val="00071B41"/>
    <w:rsid w:val="00072141"/>
    <w:rsid w:val="00072602"/>
    <w:rsid w:val="00072CE7"/>
    <w:rsid w:val="00073F2B"/>
    <w:rsid w:val="00074542"/>
    <w:rsid w:val="00076021"/>
    <w:rsid w:val="00076812"/>
    <w:rsid w:val="00077245"/>
    <w:rsid w:val="00077708"/>
    <w:rsid w:val="000779F3"/>
    <w:rsid w:val="00080330"/>
    <w:rsid w:val="00081AD2"/>
    <w:rsid w:val="00082421"/>
    <w:rsid w:val="0008261D"/>
    <w:rsid w:val="00083762"/>
    <w:rsid w:val="00087706"/>
    <w:rsid w:val="00087E60"/>
    <w:rsid w:val="00093C86"/>
    <w:rsid w:val="00093E1D"/>
    <w:rsid w:val="000A0EE7"/>
    <w:rsid w:val="000A1264"/>
    <w:rsid w:val="000A1BDE"/>
    <w:rsid w:val="000A2381"/>
    <w:rsid w:val="000A3A1C"/>
    <w:rsid w:val="000A4552"/>
    <w:rsid w:val="000A72D1"/>
    <w:rsid w:val="000A7F9C"/>
    <w:rsid w:val="000B154E"/>
    <w:rsid w:val="000B2AF4"/>
    <w:rsid w:val="000B3B03"/>
    <w:rsid w:val="000B3BC8"/>
    <w:rsid w:val="000B4D5C"/>
    <w:rsid w:val="000B6E24"/>
    <w:rsid w:val="000B772A"/>
    <w:rsid w:val="000B78A7"/>
    <w:rsid w:val="000C227E"/>
    <w:rsid w:val="000C2D79"/>
    <w:rsid w:val="000C318F"/>
    <w:rsid w:val="000C41A2"/>
    <w:rsid w:val="000C59EE"/>
    <w:rsid w:val="000C5A89"/>
    <w:rsid w:val="000C6CA5"/>
    <w:rsid w:val="000D062F"/>
    <w:rsid w:val="000D0DE0"/>
    <w:rsid w:val="000D164A"/>
    <w:rsid w:val="000D35F3"/>
    <w:rsid w:val="000D3A5C"/>
    <w:rsid w:val="000D502F"/>
    <w:rsid w:val="000E0E4F"/>
    <w:rsid w:val="000E146E"/>
    <w:rsid w:val="000E1D80"/>
    <w:rsid w:val="000E26F0"/>
    <w:rsid w:val="000E30EB"/>
    <w:rsid w:val="000E31F3"/>
    <w:rsid w:val="000E5F06"/>
    <w:rsid w:val="000E6990"/>
    <w:rsid w:val="000F0748"/>
    <w:rsid w:val="000F17C2"/>
    <w:rsid w:val="000F2FA2"/>
    <w:rsid w:val="000F3793"/>
    <w:rsid w:val="000F4A09"/>
    <w:rsid w:val="000F54E5"/>
    <w:rsid w:val="000F587B"/>
    <w:rsid w:val="000F5C2A"/>
    <w:rsid w:val="000F7CE2"/>
    <w:rsid w:val="001008DD"/>
    <w:rsid w:val="00101072"/>
    <w:rsid w:val="0010129A"/>
    <w:rsid w:val="00101652"/>
    <w:rsid w:val="00102894"/>
    <w:rsid w:val="001028DC"/>
    <w:rsid w:val="00103187"/>
    <w:rsid w:val="00106667"/>
    <w:rsid w:val="00111308"/>
    <w:rsid w:val="00111439"/>
    <w:rsid w:val="00111A31"/>
    <w:rsid w:val="00111AD1"/>
    <w:rsid w:val="001122DA"/>
    <w:rsid w:val="00112CE7"/>
    <w:rsid w:val="0011477D"/>
    <w:rsid w:val="001153FD"/>
    <w:rsid w:val="00115CEB"/>
    <w:rsid w:val="00115EA0"/>
    <w:rsid w:val="00115FA5"/>
    <w:rsid w:val="00116B29"/>
    <w:rsid w:val="001174FD"/>
    <w:rsid w:val="0012084F"/>
    <w:rsid w:val="001219F0"/>
    <w:rsid w:val="00122153"/>
    <w:rsid w:val="001222F9"/>
    <w:rsid w:val="001236F5"/>
    <w:rsid w:val="00124752"/>
    <w:rsid w:val="001250DE"/>
    <w:rsid w:val="001255B6"/>
    <w:rsid w:val="00130E9C"/>
    <w:rsid w:val="00133D29"/>
    <w:rsid w:val="00134982"/>
    <w:rsid w:val="00136883"/>
    <w:rsid w:val="001371C9"/>
    <w:rsid w:val="00137B44"/>
    <w:rsid w:val="001406C4"/>
    <w:rsid w:val="001409CC"/>
    <w:rsid w:val="00142FBE"/>
    <w:rsid w:val="001444FC"/>
    <w:rsid w:val="001463ED"/>
    <w:rsid w:val="001472BF"/>
    <w:rsid w:val="00151B1A"/>
    <w:rsid w:val="00153209"/>
    <w:rsid w:val="00153CFC"/>
    <w:rsid w:val="00154E5F"/>
    <w:rsid w:val="00155BD4"/>
    <w:rsid w:val="0015625E"/>
    <w:rsid w:val="001573AB"/>
    <w:rsid w:val="001627B3"/>
    <w:rsid w:val="00163421"/>
    <w:rsid w:val="00165C0F"/>
    <w:rsid w:val="001675AE"/>
    <w:rsid w:val="00170DA4"/>
    <w:rsid w:val="001720A4"/>
    <w:rsid w:val="001727D0"/>
    <w:rsid w:val="0017399F"/>
    <w:rsid w:val="001747B7"/>
    <w:rsid w:val="00174D2F"/>
    <w:rsid w:val="001750B1"/>
    <w:rsid w:val="001764C2"/>
    <w:rsid w:val="00182DDF"/>
    <w:rsid w:val="00192922"/>
    <w:rsid w:val="00192B81"/>
    <w:rsid w:val="00193917"/>
    <w:rsid w:val="00193C1C"/>
    <w:rsid w:val="001943C5"/>
    <w:rsid w:val="0019445D"/>
    <w:rsid w:val="00194781"/>
    <w:rsid w:val="001949B4"/>
    <w:rsid w:val="0019688E"/>
    <w:rsid w:val="00196F9A"/>
    <w:rsid w:val="001A0216"/>
    <w:rsid w:val="001A2789"/>
    <w:rsid w:val="001A3133"/>
    <w:rsid w:val="001A31E3"/>
    <w:rsid w:val="001A48DF"/>
    <w:rsid w:val="001A775D"/>
    <w:rsid w:val="001B01D2"/>
    <w:rsid w:val="001B0705"/>
    <w:rsid w:val="001B20E9"/>
    <w:rsid w:val="001B256B"/>
    <w:rsid w:val="001B2783"/>
    <w:rsid w:val="001B41BD"/>
    <w:rsid w:val="001B4724"/>
    <w:rsid w:val="001B74D7"/>
    <w:rsid w:val="001B790A"/>
    <w:rsid w:val="001C0664"/>
    <w:rsid w:val="001C09AC"/>
    <w:rsid w:val="001C30A8"/>
    <w:rsid w:val="001C36A4"/>
    <w:rsid w:val="001C41AC"/>
    <w:rsid w:val="001C5380"/>
    <w:rsid w:val="001C6881"/>
    <w:rsid w:val="001C759F"/>
    <w:rsid w:val="001C7782"/>
    <w:rsid w:val="001D01E7"/>
    <w:rsid w:val="001D113A"/>
    <w:rsid w:val="001D4234"/>
    <w:rsid w:val="001D4A5B"/>
    <w:rsid w:val="001D5485"/>
    <w:rsid w:val="001D5E34"/>
    <w:rsid w:val="001D69AB"/>
    <w:rsid w:val="001E01D6"/>
    <w:rsid w:val="001E4129"/>
    <w:rsid w:val="001E6221"/>
    <w:rsid w:val="001F00CF"/>
    <w:rsid w:val="001F1ADA"/>
    <w:rsid w:val="001F2996"/>
    <w:rsid w:val="00200260"/>
    <w:rsid w:val="002002C7"/>
    <w:rsid w:val="00203A76"/>
    <w:rsid w:val="00204AE6"/>
    <w:rsid w:val="00204E4B"/>
    <w:rsid w:val="00205201"/>
    <w:rsid w:val="0020644A"/>
    <w:rsid w:val="00206F68"/>
    <w:rsid w:val="00207C77"/>
    <w:rsid w:val="00211B9C"/>
    <w:rsid w:val="002128A5"/>
    <w:rsid w:val="0021403A"/>
    <w:rsid w:val="00214976"/>
    <w:rsid w:val="0021586F"/>
    <w:rsid w:val="00215919"/>
    <w:rsid w:val="002163CB"/>
    <w:rsid w:val="002171A9"/>
    <w:rsid w:val="00217914"/>
    <w:rsid w:val="002179DD"/>
    <w:rsid w:val="00220AF9"/>
    <w:rsid w:val="0022107D"/>
    <w:rsid w:val="002232A9"/>
    <w:rsid w:val="00223A12"/>
    <w:rsid w:val="002246F1"/>
    <w:rsid w:val="002272F9"/>
    <w:rsid w:val="00227932"/>
    <w:rsid w:val="0023070A"/>
    <w:rsid w:val="00231966"/>
    <w:rsid w:val="002335E7"/>
    <w:rsid w:val="00233FEB"/>
    <w:rsid w:val="002340F4"/>
    <w:rsid w:val="00235B2C"/>
    <w:rsid w:val="002361E8"/>
    <w:rsid w:val="002377AB"/>
    <w:rsid w:val="00237F28"/>
    <w:rsid w:val="002401CA"/>
    <w:rsid w:val="002406C3"/>
    <w:rsid w:val="00240947"/>
    <w:rsid w:val="00243F8C"/>
    <w:rsid w:val="00245D12"/>
    <w:rsid w:val="00253255"/>
    <w:rsid w:val="00253A00"/>
    <w:rsid w:val="00254836"/>
    <w:rsid w:val="002561CF"/>
    <w:rsid w:val="00263A20"/>
    <w:rsid w:val="0026441A"/>
    <w:rsid w:val="00264602"/>
    <w:rsid w:val="002677F5"/>
    <w:rsid w:val="0027013D"/>
    <w:rsid w:val="00270FB3"/>
    <w:rsid w:val="00271350"/>
    <w:rsid w:val="002729B6"/>
    <w:rsid w:val="0027349C"/>
    <w:rsid w:val="00274397"/>
    <w:rsid w:val="00274664"/>
    <w:rsid w:val="002751FD"/>
    <w:rsid w:val="00276268"/>
    <w:rsid w:val="002763EA"/>
    <w:rsid w:val="002766F0"/>
    <w:rsid w:val="00276D79"/>
    <w:rsid w:val="00282194"/>
    <w:rsid w:val="00282492"/>
    <w:rsid w:val="002825DF"/>
    <w:rsid w:val="00282D5B"/>
    <w:rsid w:val="00283783"/>
    <w:rsid w:val="0028438E"/>
    <w:rsid w:val="00284DCC"/>
    <w:rsid w:val="002853FC"/>
    <w:rsid w:val="002908B5"/>
    <w:rsid w:val="00294876"/>
    <w:rsid w:val="00295950"/>
    <w:rsid w:val="00295DD4"/>
    <w:rsid w:val="00295F13"/>
    <w:rsid w:val="002A2B1E"/>
    <w:rsid w:val="002A3EC6"/>
    <w:rsid w:val="002A4625"/>
    <w:rsid w:val="002A4A81"/>
    <w:rsid w:val="002A7FF3"/>
    <w:rsid w:val="002B0FF3"/>
    <w:rsid w:val="002B125E"/>
    <w:rsid w:val="002B1B71"/>
    <w:rsid w:val="002B2562"/>
    <w:rsid w:val="002B2EC5"/>
    <w:rsid w:val="002B6A2A"/>
    <w:rsid w:val="002B6BF5"/>
    <w:rsid w:val="002C16C7"/>
    <w:rsid w:val="002C170B"/>
    <w:rsid w:val="002C2C93"/>
    <w:rsid w:val="002C6D0D"/>
    <w:rsid w:val="002C7205"/>
    <w:rsid w:val="002D2997"/>
    <w:rsid w:val="002D5628"/>
    <w:rsid w:val="002D6D79"/>
    <w:rsid w:val="002D70B5"/>
    <w:rsid w:val="002D7F38"/>
    <w:rsid w:val="002E1CDF"/>
    <w:rsid w:val="002E2922"/>
    <w:rsid w:val="002E3844"/>
    <w:rsid w:val="002E3A2D"/>
    <w:rsid w:val="002E531D"/>
    <w:rsid w:val="002E57E8"/>
    <w:rsid w:val="002E65B1"/>
    <w:rsid w:val="002E7727"/>
    <w:rsid w:val="002E7DF4"/>
    <w:rsid w:val="002F002D"/>
    <w:rsid w:val="002F0A1F"/>
    <w:rsid w:val="002F268A"/>
    <w:rsid w:val="002F2CEE"/>
    <w:rsid w:val="002F2DD4"/>
    <w:rsid w:val="002F3544"/>
    <w:rsid w:val="002F3EC3"/>
    <w:rsid w:val="002F72C5"/>
    <w:rsid w:val="00300BD6"/>
    <w:rsid w:val="00302C6C"/>
    <w:rsid w:val="003038D1"/>
    <w:rsid w:val="00304452"/>
    <w:rsid w:val="0030519A"/>
    <w:rsid w:val="00311EA4"/>
    <w:rsid w:val="003127AA"/>
    <w:rsid w:val="00312D10"/>
    <w:rsid w:val="00313F21"/>
    <w:rsid w:val="00314FB9"/>
    <w:rsid w:val="00315EEB"/>
    <w:rsid w:val="00315F88"/>
    <w:rsid w:val="003163D2"/>
    <w:rsid w:val="003174FA"/>
    <w:rsid w:val="00317F19"/>
    <w:rsid w:val="003207F3"/>
    <w:rsid w:val="0032147D"/>
    <w:rsid w:val="003221EC"/>
    <w:rsid w:val="00322F2B"/>
    <w:rsid w:val="00324651"/>
    <w:rsid w:val="0032542A"/>
    <w:rsid w:val="0033063D"/>
    <w:rsid w:val="003318FE"/>
    <w:rsid w:val="0033295D"/>
    <w:rsid w:val="0033312F"/>
    <w:rsid w:val="00334B75"/>
    <w:rsid w:val="003356FF"/>
    <w:rsid w:val="003357C5"/>
    <w:rsid w:val="00335C2F"/>
    <w:rsid w:val="00336C4D"/>
    <w:rsid w:val="003403B2"/>
    <w:rsid w:val="00341F26"/>
    <w:rsid w:val="00342FC2"/>
    <w:rsid w:val="00343441"/>
    <w:rsid w:val="00346544"/>
    <w:rsid w:val="0035039B"/>
    <w:rsid w:val="00350AFB"/>
    <w:rsid w:val="00351817"/>
    <w:rsid w:val="00352020"/>
    <w:rsid w:val="003526A6"/>
    <w:rsid w:val="00353A12"/>
    <w:rsid w:val="00355E72"/>
    <w:rsid w:val="00356246"/>
    <w:rsid w:val="00356B55"/>
    <w:rsid w:val="003603D7"/>
    <w:rsid w:val="00361688"/>
    <w:rsid w:val="00361ADC"/>
    <w:rsid w:val="0036208A"/>
    <w:rsid w:val="00366E9F"/>
    <w:rsid w:val="003675A1"/>
    <w:rsid w:val="00371224"/>
    <w:rsid w:val="00371826"/>
    <w:rsid w:val="0037309D"/>
    <w:rsid w:val="0037619F"/>
    <w:rsid w:val="003771E5"/>
    <w:rsid w:val="003772AA"/>
    <w:rsid w:val="003818C6"/>
    <w:rsid w:val="003848C5"/>
    <w:rsid w:val="003869F0"/>
    <w:rsid w:val="003870D9"/>
    <w:rsid w:val="00393050"/>
    <w:rsid w:val="0039353A"/>
    <w:rsid w:val="00393A9C"/>
    <w:rsid w:val="00393FFE"/>
    <w:rsid w:val="00394287"/>
    <w:rsid w:val="00397066"/>
    <w:rsid w:val="0039785F"/>
    <w:rsid w:val="00397B89"/>
    <w:rsid w:val="003A528E"/>
    <w:rsid w:val="003A56BB"/>
    <w:rsid w:val="003B108B"/>
    <w:rsid w:val="003B179C"/>
    <w:rsid w:val="003B1876"/>
    <w:rsid w:val="003B2391"/>
    <w:rsid w:val="003B2A1E"/>
    <w:rsid w:val="003B2B6C"/>
    <w:rsid w:val="003B31A3"/>
    <w:rsid w:val="003B3E7F"/>
    <w:rsid w:val="003B3EB2"/>
    <w:rsid w:val="003B57E2"/>
    <w:rsid w:val="003B6F07"/>
    <w:rsid w:val="003B70D7"/>
    <w:rsid w:val="003B7446"/>
    <w:rsid w:val="003C0550"/>
    <w:rsid w:val="003C0CA1"/>
    <w:rsid w:val="003C24E6"/>
    <w:rsid w:val="003C3541"/>
    <w:rsid w:val="003C489D"/>
    <w:rsid w:val="003C4B54"/>
    <w:rsid w:val="003C61E5"/>
    <w:rsid w:val="003C663D"/>
    <w:rsid w:val="003C7545"/>
    <w:rsid w:val="003D0E26"/>
    <w:rsid w:val="003D3392"/>
    <w:rsid w:val="003E0FDF"/>
    <w:rsid w:val="003E12E1"/>
    <w:rsid w:val="003E2134"/>
    <w:rsid w:val="003E2B21"/>
    <w:rsid w:val="003E6DFC"/>
    <w:rsid w:val="003E7B4F"/>
    <w:rsid w:val="003F05A5"/>
    <w:rsid w:val="003F0BE9"/>
    <w:rsid w:val="003F263D"/>
    <w:rsid w:val="003F2D14"/>
    <w:rsid w:val="003F615E"/>
    <w:rsid w:val="003F63A1"/>
    <w:rsid w:val="003F7420"/>
    <w:rsid w:val="003F767A"/>
    <w:rsid w:val="00400153"/>
    <w:rsid w:val="004001C3"/>
    <w:rsid w:val="004016BB"/>
    <w:rsid w:val="00402978"/>
    <w:rsid w:val="0040322B"/>
    <w:rsid w:val="00404788"/>
    <w:rsid w:val="00406E39"/>
    <w:rsid w:val="004074A6"/>
    <w:rsid w:val="00407E1F"/>
    <w:rsid w:val="0041029C"/>
    <w:rsid w:val="004102F5"/>
    <w:rsid w:val="00411D02"/>
    <w:rsid w:val="0041245B"/>
    <w:rsid w:val="004139AA"/>
    <w:rsid w:val="00414136"/>
    <w:rsid w:val="00414314"/>
    <w:rsid w:val="00414689"/>
    <w:rsid w:val="00414D38"/>
    <w:rsid w:val="00415537"/>
    <w:rsid w:val="00415F00"/>
    <w:rsid w:val="0041614E"/>
    <w:rsid w:val="0041648F"/>
    <w:rsid w:val="004224FF"/>
    <w:rsid w:val="00422C85"/>
    <w:rsid w:val="0042302D"/>
    <w:rsid w:val="0042321C"/>
    <w:rsid w:val="00423AF0"/>
    <w:rsid w:val="0042421F"/>
    <w:rsid w:val="0042656B"/>
    <w:rsid w:val="004267A8"/>
    <w:rsid w:val="00426C9B"/>
    <w:rsid w:val="004276AF"/>
    <w:rsid w:val="004302ED"/>
    <w:rsid w:val="004315F0"/>
    <w:rsid w:val="00432CBD"/>
    <w:rsid w:val="004337C4"/>
    <w:rsid w:val="00434272"/>
    <w:rsid w:val="00434DCD"/>
    <w:rsid w:val="00434ED4"/>
    <w:rsid w:val="00435D8C"/>
    <w:rsid w:val="004363AA"/>
    <w:rsid w:val="00437384"/>
    <w:rsid w:val="004407CF"/>
    <w:rsid w:val="0044089B"/>
    <w:rsid w:val="00443269"/>
    <w:rsid w:val="004441FF"/>
    <w:rsid w:val="004468C0"/>
    <w:rsid w:val="00447150"/>
    <w:rsid w:val="00447852"/>
    <w:rsid w:val="00450C63"/>
    <w:rsid w:val="00451123"/>
    <w:rsid w:val="00451725"/>
    <w:rsid w:val="00453079"/>
    <w:rsid w:val="00454740"/>
    <w:rsid w:val="00457341"/>
    <w:rsid w:val="00457B38"/>
    <w:rsid w:val="00457D89"/>
    <w:rsid w:val="004609D8"/>
    <w:rsid w:val="00461EFF"/>
    <w:rsid w:val="00470007"/>
    <w:rsid w:val="0047021B"/>
    <w:rsid w:val="00471B3E"/>
    <w:rsid w:val="00474230"/>
    <w:rsid w:val="00474812"/>
    <w:rsid w:val="00474E85"/>
    <w:rsid w:val="0047663E"/>
    <w:rsid w:val="00477173"/>
    <w:rsid w:val="00477A7B"/>
    <w:rsid w:val="00482F6A"/>
    <w:rsid w:val="00485563"/>
    <w:rsid w:val="00486566"/>
    <w:rsid w:val="00486692"/>
    <w:rsid w:val="00486BC7"/>
    <w:rsid w:val="004870B8"/>
    <w:rsid w:val="00487F7C"/>
    <w:rsid w:val="00490CA4"/>
    <w:rsid w:val="00496FE5"/>
    <w:rsid w:val="00497337"/>
    <w:rsid w:val="004A060F"/>
    <w:rsid w:val="004A4AF7"/>
    <w:rsid w:val="004A69B7"/>
    <w:rsid w:val="004A7F45"/>
    <w:rsid w:val="004B17AD"/>
    <w:rsid w:val="004B1AA5"/>
    <w:rsid w:val="004B60ED"/>
    <w:rsid w:val="004C13C9"/>
    <w:rsid w:val="004C3D8B"/>
    <w:rsid w:val="004C6D7A"/>
    <w:rsid w:val="004C7432"/>
    <w:rsid w:val="004C7D2B"/>
    <w:rsid w:val="004D0A50"/>
    <w:rsid w:val="004D186D"/>
    <w:rsid w:val="004D3496"/>
    <w:rsid w:val="004D4CAC"/>
    <w:rsid w:val="004D5D0E"/>
    <w:rsid w:val="004D7702"/>
    <w:rsid w:val="004E01F3"/>
    <w:rsid w:val="004E38AB"/>
    <w:rsid w:val="004E4A0F"/>
    <w:rsid w:val="004E4E91"/>
    <w:rsid w:val="004E5158"/>
    <w:rsid w:val="004E5B40"/>
    <w:rsid w:val="004E6956"/>
    <w:rsid w:val="004E6B4A"/>
    <w:rsid w:val="004F0522"/>
    <w:rsid w:val="004F0552"/>
    <w:rsid w:val="004F1708"/>
    <w:rsid w:val="004F2B7A"/>
    <w:rsid w:val="004F2D26"/>
    <w:rsid w:val="004F3078"/>
    <w:rsid w:val="004F59C9"/>
    <w:rsid w:val="004F5C20"/>
    <w:rsid w:val="00503A7E"/>
    <w:rsid w:val="00503C7F"/>
    <w:rsid w:val="005072B8"/>
    <w:rsid w:val="00507F24"/>
    <w:rsid w:val="00511131"/>
    <w:rsid w:val="00512238"/>
    <w:rsid w:val="00513BBE"/>
    <w:rsid w:val="005149E1"/>
    <w:rsid w:val="0051519B"/>
    <w:rsid w:val="00515EE3"/>
    <w:rsid w:val="005161EB"/>
    <w:rsid w:val="00520764"/>
    <w:rsid w:val="00521734"/>
    <w:rsid w:val="005228B1"/>
    <w:rsid w:val="005243C9"/>
    <w:rsid w:val="00526EB2"/>
    <w:rsid w:val="0052789C"/>
    <w:rsid w:val="00527CA1"/>
    <w:rsid w:val="00534E15"/>
    <w:rsid w:val="00535A05"/>
    <w:rsid w:val="005373BF"/>
    <w:rsid w:val="00537C65"/>
    <w:rsid w:val="00537CFF"/>
    <w:rsid w:val="00537D7A"/>
    <w:rsid w:val="0054108A"/>
    <w:rsid w:val="00542778"/>
    <w:rsid w:val="00542AF3"/>
    <w:rsid w:val="00542FA5"/>
    <w:rsid w:val="0054673C"/>
    <w:rsid w:val="00551E00"/>
    <w:rsid w:val="00555D24"/>
    <w:rsid w:val="00557DF1"/>
    <w:rsid w:val="00557E54"/>
    <w:rsid w:val="005602F4"/>
    <w:rsid w:val="0056113A"/>
    <w:rsid w:val="005627C0"/>
    <w:rsid w:val="0056431A"/>
    <w:rsid w:val="005645A9"/>
    <w:rsid w:val="0056553F"/>
    <w:rsid w:val="005669A2"/>
    <w:rsid w:val="0057131A"/>
    <w:rsid w:val="0057210F"/>
    <w:rsid w:val="00572D78"/>
    <w:rsid w:val="005735FA"/>
    <w:rsid w:val="00573C38"/>
    <w:rsid w:val="00577CF7"/>
    <w:rsid w:val="00580229"/>
    <w:rsid w:val="005834DA"/>
    <w:rsid w:val="0058710D"/>
    <w:rsid w:val="00587795"/>
    <w:rsid w:val="00591CF1"/>
    <w:rsid w:val="00592826"/>
    <w:rsid w:val="005961B5"/>
    <w:rsid w:val="005A07A2"/>
    <w:rsid w:val="005A3BE3"/>
    <w:rsid w:val="005A533B"/>
    <w:rsid w:val="005A553F"/>
    <w:rsid w:val="005A5F05"/>
    <w:rsid w:val="005A7AFE"/>
    <w:rsid w:val="005B2827"/>
    <w:rsid w:val="005B3723"/>
    <w:rsid w:val="005B3A29"/>
    <w:rsid w:val="005B4525"/>
    <w:rsid w:val="005B482B"/>
    <w:rsid w:val="005B7F18"/>
    <w:rsid w:val="005C1412"/>
    <w:rsid w:val="005C1787"/>
    <w:rsid w:val="005C2823"/>
    <w:rsid w:val="005C31AA"/>
    <w:rsid w:val="005C41BB"/>
    <w:rsid w:val="005C41D4"/>
    <w:rsid w:val="005C50D2"/>
    <w:rsid w:val="005C6BAC"/>
    <w:rsid w:val="005D037D"/>
    <w:rsid w:val="005D0AF3"/>
    <w:rsid w:val="005D22FA"/>
    <w:rsid w:val="005D2818"/>
    <w:rsid w:val="005D2BA5"/>
    <w:rsid w:val="005D2FAF"/>
    <w:rsid w:val="005D3E07"/>
    <w:rsid w:val="005D44FA"/>
    <w:rsid w:val="005D4E6B"/>
    <w:rsid w:val="005D4F2C"/>
    <w:rsid w:val="005D6AB6"/>
    <w:rsid w:val="005D6D87"/>
    <w:rsid w:val="005D6E70"/>
    <w:rsid w:val="005D7C3C"/>
    <w:rsid w:val="005E1DD5"/>
    <w:rsid w:val="005E235B"/>
    <w:rsid w:val="005E2F65"/>
    <w:rsid w:val="005E330C"/>
    <w:rsid w:val="005E3F2B"/>
    <w:rsid w:val="005E54DB"/>
    <w:rsid w:val="005E584A"/>
    <w:rsid w:val="005E6F7F"/>
    <w:rsid w:val="005E741D"/>
    <w:rsid w:val="005F02B2"/>
    <w:rsid w:val="005F21DC"/>
    <w:rsid w:val="005F4DA1"/>
    <w:rsid w:val="005F58DA"/>
    <w:rsid w:val="005F6871"/>
    <w:rsid w:val="00600AA0"/>
    <w:rsid w:val="0060307D"/>
    <w:rsid w:val="006032B8"/>
    <w:rsid w:val="0060405E"/>
    <w:rsid w:val="00605CEB"/>
    <w:rsid w:val="00605D3A"/>
    <w:rsid w:val="00606766"/>
    <w:rsid w:val="00606E9E"/>
    <w:rsid w:val="00606FE0"/>
    <w:rsid w:val="006116E1"/>
    <w:rsid w:val="00611DFC"/>
    <w:rsid w:val="006122C5"/>
    <w:rsid w:val="006133CF"/>
    <w:rsid w:val="00614773"/>
    <w:rsid w:val="00615063"/>
    <w:rsid w:val="00615513"/>
    <w:rsid w:val="00616538"/>
    <w:rsid w:val="006170E6"/>
    <w:rsid w:val="00617AE3"/>
    <w:rsid w:val="00620C3B"/>
    <w:rsid w:val="00620C74"/>
    <w:rsid w:val="00621F48"/>
    <w:rsid w:val="006223A5"/>
    <w:rsid w:val="0062676E"/>
    <w:rsid w:val="006270CE"/>
    <w:rsid w:val="00630EF0"/>
    <w:rsid w:val="006322C2"/>
    <w:rsid w:val="0063245D"/>
    <w:rsid w:val="00634142"/>
    <w:rsid w:val="0063506C"/>
    <w:rsid w:val="00635B26"/>
    <w:rsid w:val="006361CE"/>
    <w:rsid w:val="0063677D"/>
    <w:rsid w:val="00637901"/>
    <w:rsid w:val="006404BC"/>
    <w:rsid w:val="00642F45"/>
    <w:rsid w:val="00645EAC"/>
    <w:rsid w:val="006460F3"/>
    <w:rsid w:val="00646DD6"/>
    <w:rsid w:val="00647061"/>
    <w:rsid w:val="0065036E"/>
    <w:rsid w:val="006504F4"/>
    <w:rsid w:val="0065155C"/>
    <w:rsid w:val="00651F80"/>
    <w:rsid w:val="00652656"/>
    <w:rsid w:val="0065547D"/>
    <w:rsid w:val="00655A0B"/>
    <w:rsid w:val="0065793B"/>
    <w:rsid w:val="006611FD"/>
    <w:rsid w:val="00661709"/>
    <w:rsid w:val="00662EC8"/>
    <w:rsid w:val="00666A0B"/>
    <w:rsid w:val="006677BE"/>
    <w:rsid w:val="006705C5"/>
    <w:rsid w:val="00670B4D"/>
    <w:rsid w:val="00670CBE"/>
    <w:rsid w:val="00673D3A"/>
    <w:rsid w:val="00674FC9"/>
    <w:rsid w:val="0067534D"/>
    <w:rsid w:val="00681C3F"/>
    <w:rsid w:val="00682997"/>
    <w:rsid w:val="00682B6E"/>
    <w:rsid w:val="006831B0"/>
    <w:rsid w:val="0068554A"/>
    <w:rsid w:val="00685BED"/>
    <w:rsid w:val="00690F45"/>
    <w:rsid w:val="006922AC"/>
    <w:rsid w:val="00693E0D"/>
    <w:rsid w:val="00695AFA"/>
    <w:rsid w:val="006A0C01"/>
    <w:rsid w:val="006A6E3C"/>
    <w:rsid w:val="006A7B33"/>
    <w:rsid w:val="006B04DA"/>
    <w:rsid w:val="006B4617"/>
    <w:rsid w:val="006B692D"/>
    <w:rsid w:val="006B6AE7"/>
    <w:rsid w:val="006C10A4"/>
    <w:rsid w:val="006C1936"/>
    <w:rsid w:val="006C1CD2"/>
    <w:rsid w:val="006C32DD"/>
    <w:rsid w:val="006C43C3"/>
    <w:rsid w:val="006C46BA"/>
    <w:rsid w:val="006C5EB6"/>
    <w:rsid w:val="006C6F6E"/>
    <w:rsid w:val="006D045F"/>
    <w:rsid w:val="006D0B2A"/>
    <w:rsid w:val="006D26E8"/>
    <w:rsid w:val="006D489C"/>
    <w:rsid w:val="006D4949"/>
    <w:rsid w:val="006D4C8B"/>
    <w:rsid w:val="006D6A84"/>
    <w:rsid w:val="006D7923"/>
    <w:rsid w:val="006D7ACF"/>
    <w:rsid w:val="006D7B53"/>
    <w:rsid w:val="006D7F0B"/>
    <w:rsid w:val="006E0A8D"/>
    <w:rsid w:val="006E3C2C"/>
    <w:rsid w:val="006E44DA"/>
    <w:rsid w:val="006E6982"/>
    <w:rsid w:val="006F0711"/>
    <w:rsid w:val="006F0F75"/>
    <w:rsid w:val="006F17B2"/>
    <w:rsid w:val="006F1CB4"/>
    <w:rsid w:val="006F2CA2"/>
    <w:rsid w:val="006F2EE6"/>
    <w:rsid w:val="006F5C66"/>
    <w:rsid w:val="006F6BBE"/>
    <w:rsid w:val="007022C3"/>
    <w:rsid w:val="00702C4F"/>
    <w:rsid w:val="00702DC1"/>
    <w:rsid w:val="0070352E"/>
    <w:rsid w:val="00704058"/>
    <w:rsid w:val="00705E8B"/>
    <w:rsid w:val="0071024C"/>
    <w:rsid w:val="007126D3"/>
    <w:rsid w:val="00713C9F"/>
    <w:rsid w:val="00715A18"/>
    <w:rsid w:val="0071734E"/>
    <w:rsid w:val="00721948"/>
    <w:rsid w:val="0072490B"/>
    <w:rsid w:val="00727357"/>
    <w:rsid w:val="007279A4"/>
    <w:rsid w:val="007305DF"/>
    <w:rsid w:val="00730630"/>
    <w:rsid w:val="00731787"/>
    <w:rsid w:val="00734A9A"/>
    <w:rsid w:val="007350E4"/>
    <w:rsid w:val="007376A2"/>
    <w:rsid w:val="00740261"/>
    <w:rsid w:val="00744A1F"/>
    <w:rsid w:val="00745A6C"/>
    <w:rsid w:val="00745C99"/>
    <w:rsid w:val="00746224"/>
    <w:rsid w:val="0074629F"/>
    <w:rsid w:val="00747171"/>
    <w:rsid w:val="00747B90"/>
    <w:rsid w:val="00750195"/>
    <w:rsid w:val="00751683"/>
    <w:rsid w:val="0075295D"/>
    <w:rsid w:val="007536F4"/>
    <w:rsid w:val="007572FF"/>
    <w:rsid w:val="00757514"/>
    <w:rsid w:val="00760626"/>
    <w:rsid w:val="007630FF"/>
    <w:rsid w:val="007635B9"/>
    <w:rsid w:val="00763C8D"/>
    <w:rsid w:val="00765D6B"/>
    <w:rsid w:val="00770CDA"/>
    <w:rsid w:val="00770D4B"/>
    <w:rsid w:val="007721B4"/>
    <w:rsid w:val="0077243A"/>
    <w:rsid w:val="00773858"/>
    <w:rsid w:val="00774FDA"/>
    <w:rsid w:val="00777FB1"/>
    <w:rsid w:val="007812A4"/>
    <w:rsid w:val="00781FE8"/>
    <w:rsid w:val="00782EAA"/>
    <w:rsid w:val="00783E6A"/>
    <w:rsid w:val="007846A8"/>
    <w:rsid w:val="007846D3"/>
    <w:rsid w:val="00786120"/>
    <w:rsid w:val="00786415"/>
    <w:rsid w:val="00786BFA"/>
    <w:rsid w:val="00786FAA"/>
    <w:rsid w:val="00791422"/>
    <w:rsid w:val="00792F5A"/>
    <w:rsid w:val="00793DE8"/>
    <w:rsid w:val="00796C1D"/>
    <w:rsid w:val="007A3C27"/>
    <w:rsid w:val="007A6824"/>
    <w:rsid w:val="007A7AF9"/>
    <w:rsid w:val="007A7BF0"/>
    <w:rsid w:val="007B0490"/>
    <w:rsid w:val="007B2FCD"/>
    <w:rsid w:val="007B53ED"/>
    <w:rsid w:val="007B5A57"/>
    <w:rsid w:val="007B612A"/>
    <w:rsid w:val="007B661E"/>
    <w:rsid w:val="007B7834"/>
    <w:rsid w:val="007C164C"/>
    <w:rsid w:val="007C2B71"/>
    <w:rsid w:val="007C3E2C"/>
    <w:rsid w:val="007C3F2F"/>
    <w:rsid w:val="007C5155"/>
    <w:rsid w:val="007C755C"/>
    <w:rsid w:val="007C7645"/>
    <w:rsid w:val="007C7934"/>
    <w:rsid w:val="007C7B5F"/>
    <w:rsid w:val="007C7FE4"/>
    <w:rsid w:val="007D04B0"/>
    <w:rsid w:val="007D1B1D"/>
    <w:rsid w:val="007D3B04"/>
    <w:rsid w:val="007D3B9F"/>
    <w:rsid w:val="007D3C14"/>
    <w:rsid w:val="007D569A"/>
    <w:rsid w:val="007D7C76"/>
    <w:rsid w:val="007E085B"/>
    <w:rsid w:val="007E09AF"/>
    <w:rsid w:val="007E2690"/>
    <w:rsid w:val="007E2BD8"/>
    <w:rsid w:val="007E3BCB"/>
    <w:rsid w:val="007E672B"/>
    <w:rsid w:val="007E74C9"/>
    <w:rsid w:val="007F0211"/>
    <w:rsid w:val="007F03D0"/>
    <w:rsid w:val="007F05EB"/>
    <w:rsid w:val="007F0625"/>
    <w:rsid w:val="007F1E00"/>
    <w:rsid w:val="007F2AEF"/>
    <w:rsid w:val="007F6B4A"/>
    <w:rsid w:val="0080124C"/>
    <w:rsid w:val="008012D5"/>
    <w:rsid w:val="00801578"/>
    <w:rsid w:val="00801C31"/>
    <w:rsid w:val="00802781"/>
    <w:rsid w:val="00805FEC"/>
    <w:rsid w:val="008068B0"/>
    <w:rsid w:val="00807E85"/>
    <w:rsid w:val="008114CE"/>
    <w:rsid w:val="00821C4D"/>
    <w:rsid w:val="008271E0"/>
    <w:rsid w:val="00834FD0"/>
    <w:rsid w:val="008354B9"/>
    <w:rsid w:val="008376F9"/>
    <w:rsid w:val="00837D7C"/>
    <w:rsid w:val="00837D8A"/>
    <w:rsid w:val="0084054F"/>
    <w:rsid w:val="00840794"/>
    <w:rsid w:val="008409DF"/>
    <w:rsid w:val="00842A36"/>
    <w:rsid w:val="00842D5C"/>
    <w:rsid w:val="00843AE4"/>
    <w:rsid w:val="00844E80"/>
    <w:rsid w:val="00846A4C"/>
    <w:rsid w:val="00847687"/>
    <w:rsid w:val="008476D5"/>
    <w:rsid w:val="008500DB"/>
    <w:rsid w:val="008501FA"/>
    <w:rsid w:val="00852CDE"/>
    <w:rsid w:val="00854D36"/>
    <w:rsid w:val="00856233"/>
    <w:rsid w:val="008564F1"/>
    <w:rsid w:val="008565DC"/>
    <w:rsid w:val="0085697C"/>
    <w:rsid w:val="00860950"/>
    <w:rsid w:val="00861BBE"/>
    <w:rsid w:val="00864B8B"/>
    <w:rsid w:val="008655AE"/>
    <w:rsid w:val="0086569A"/>
    <w:rsid w:val="00865BEC"/>
    <w:rsid w:val="008669D5"/>
    <w:rsid w:val="008676C0"/>
    <w:rsid w:val="00871540"/>
    <w:rsid w:val="0087235D"/>
    <w:rsid w:val="0087254E"/>
    <w:rsid w:val="0087326D"/>
    <w:rsid w:val="00873630"/>
    <w:rsid w:val="0087381D"/>
    <w:rsid w:val="0087438E"/>
    <w:rsid w:val="008748BE"/>
    <w:rsid w:val="0087564B"/>
    <w:rsid w:val="0087662A"/>
    <w:rsid w:val="0087775A"/>
    <w:rsid w:val="00877B09"/>
    <w:rsid w:val="0088185E"/>
    <w:rsid w:val="0088319B"/>
    <w:rsid w:val="008834BD"/>
    <w:rsid w:val="00884AF2"/>
    <w:rsid w:val="00885C89"/>
    <w:rsid w:val="00887D54"/>
    <w:rsid w:val="0089028C"/>
    <w:rsid w:val="00890F64"/>
    <w:rsid w:val="0089297D"/>
    <w:rsid w:val="00892F74"/>
    <w:rsid w:val="008956CB"/>
    <w:rsid w:val="008969C1"/>
    <w:rsid w:val="008A00CD"/>
    <w:rsid w:val="008A1EE0"/>
    <w:rsid w:val="008A21E5"/>
    <w:rsid w:val="008A2472"/>
    <w:rsid w:val="008A50A3"/>
    <w:rsid w:val="008A5511"/>
    <w:rsid w:val="008A60D0"/>
    <w:rsid w:val="008B37D6"/>
    <w:rsid w:val="008B4887"/>
    <w:rsid w:val="008B587C"/>
    <w:rsid w:val="008B7AB8"/>
    <w:rsid w:val="008C0736"/>
    <w:rsid w:val="008C2871"/>
    <w:rsid w:val="008C30F3"/>
    <w:rsid w:val="008C3D32"/>
    <w:rsid w:val="008C5948"/>
    <w:rsid w:val="008C5967"/>
    <w:rsid w:val="008C5AD4"/>
    <w:rsid w:val="008C6C49"/>
    <w:rsid w:val="008C6E0E"/>
    <w:rsid w:val="008C76AB"/>
    <w:rsid w:val="008C7E80"/>
    <w:rsid w:val="008D1AD8"/>
    <w:rsid w:val="008D26D0"/>
    <w:rsid w:val="008D37BD"/>
    <w:rsid w:val="008D4CE8"/>
    <w:rsid w:val="008D594D"/>
    <w:rsid w:val="008D63A3"/>
    <w:rsid w:val="008E4137"/>
    <w:rsid w:val="008E4CD1"/>
    <w:rsid w:val="008E4E72"/>
    <w:rsid w:val="008E50D0"/>
    <w:rsid w:val="008E744E"/>
    <w:rsid w:val="008F12FC"/>
    <w:rsid w:val="008F1A69"/>
    <w:rsid w:val="008F2C8D"/>
    <w:rsid w:val="008F43A7"/>
    <w:rsid w:val="008F5C54"/>
    <w:rsid w:val="00903BBD"/>
    <w:rsid w:val="00903C1F"/>
    <w:rsid w:val="00905F0C"/>
    <w:rsid w:val="00911233"/>
    <w:rsid w:val="00912140"/>
    <w:rsid w:val="00912E81"/>
    <w:rsid w:val="009143F0"/>
    <w:rsid w:val="00914689"/>
    <w:rsid w:val="00914A58"/>
    <w:rsid w:val="00914FF5"/>
    <w:rsid w:val="0092054A"/>
    <w:rsid w:val="009207C3"/>
    <w:rsid w:val="009208C0"/>
    <w:rsid w:val="009212F5"/>
    <w:rsid w:val="00924E8A"/>
    <w:rsid w:val="00924F00"/>
    <w:rsid w:val="00924FCE"/>
    <w:rsid w:val="00926266"/>
    <w:rsid w:val="00931133"/>
    <w:rsid w:val="00931515"/>
    <w:rsid w:val="00933FA0"/>
    <w:rsid w:val="00934321"/>
    <w:rsid w:val="0093680B"/>
    <w:rsid w:val="00936E1C"/>
    <w:rsid w:val="00940CF9"/>
    <w:rsid w:val="009420BA"/>
    <w:rsid w:val="0094319D"/>
    <w:rsid w:val="0094470C"/>
    <w:rsid w:val="009452C2"/>
    <w:rsid w:val="00950A87"/>
    <w:rsid w:val="009514D8"/>
    <w:rsid w:val="00952627"/>
    <w:rsid w:val="00953260"/>
    <w:rsid w:val="00956CA6"/>
    <w:rsid w:val="009573A9"/>
    <w:rsid w:val="00961734"/>
    <w:rsid w:val="00961A8C"/>
    <w:rsid w:val="00962076"/>
    <w:rsid w:val="0096257F"/>
    <w:rsid w:val="0096386B"/>
    <w:rsid w:val="00963DE9"/>
    <w:rsid w:val="0096697E"/>
    <w:rsid w:val="00971C9B"/>
    <w:rsid w:val="00972213"/>
    <w:rsid w:val="00972A28"/>
    <w:rsid w:val="00973763"/>
    <w:rsid w:val="0097384B"/>
    <w:rsid w:val="009741B8"/>
    <w:rsid w:val="00975E7F"/>
    <w:rsid w:val="0098019F"/>
    <w:rsid w:val="00981BE0"/>
    <w:rsid w:val="00984F0A"/>
    <w:rsid w:val="0098614E"/>
    <w:rsid w:val="0099146C"/>
    <w:rsid w:val="009930F1"/>
    <w:rsid w:val="00994E56"/>
    <w:rsid w:val="00995FB4"/>
    <w:rsid w:val="00997391"/>
    <w:rsid w:val="00997C49"/>
    <w:rsid w:val="00997CBC"/>
    <w:rsid w:val="009A1279"/>
    <w:rsid w:val="009A14E1"/>
    <w:rsid w:val="009A1F6E"/>
    <w:rsid w:val="009A286B"/>
    <w:rsid w:val="009A44FC"/>
    <w:rsid w:val="009A4CCD"/>
    <w:rsid w:val="009A5928"/>
    <w:rsid w:val="009A6A9A"/>
    <w:rsid w:val="009A6CE7"/>
    <w:rsid w:val="009B01DB"/>
    <w:rsid w:val="009B3CF2"/>
    <w:rsid w:val="009B4ECF"/>
    <w:rsid w:val="009B6258"/>
    <w:rsid w:val="009B6631"/>
    <w:rsid w:val="009C25EC"/>
    <w:rsid w:val="009C6370"/>
    <w:rsid w:val="009C7F34"/>
    <w:rsid w:val="009D3069"/>
    <w:rsid w:val="009D3264"/>
    <w:rsid w:val="009D43D9"/>
    <w:rsid w:val="009D4A94"/>
    <w:rsid w:val="009D6203"/>
    <w:rsid w:val="009D6D70"/>
    <w:rsid w:val="009E0A5B"/>
    <w:rsid w:val="009E18E4"/>
    <w:rsid w:val="009E1EED"/>
    <w:rsid w:val="009E3CC0"/>
    <w:rsid w:val="009E47AF"/>
    <w:rsid w:val="009E63ED"/>
    <w:rsid w:val="009E6EAB"/>
    <w:rsid w:val="009F092B"/>
    <w:rsid w:val="009F1AE6"/>
    <w:rsid w:val="009F2FE9"/>
    <w:rsid w:val="009F3C25"/>
    <w:rsid w:val="009F40DC"/>
    <w:rsid w:val="009F46BC"/>
    <w:rsid w:val="009F4926"/>
    <w:rsid w:val="009F6257"/>
    <w:rsid w:val="009F6F62"/>
    <w:rsid w:val="00A0093D"/>
    <w:rsid w:val="00A0169B"/>
    <w:rsid w:val="00A03696"/>
    <w:rsid w:val="00A06A76"/>
    <w:rsid w:val="00A10B96"/>
    <w:rsid w:val="00A1138F"/>
    <w:rsid w:val="00A12921"/>
    <w:rsid w:val="00A12C02"/>
    <w:rsid w:val="00A1305C"/>
    <w:rsid w:val="00A1499B"/>
    <w:rsid w:val="00A1513D"/>
    <w:rsid w:val="00A16B7C"/>
    <w:rsid w:val="00A1704E"/>
    <w:rsid w:val="00A20300"/>
    <w:rsid w:val="00A207FF"/>
    <w:rsid w:val="00A211AA"/>
    <w:rsid w:val="00A2217F"/>
    <w:rsid w:val="00A252A2"/>
    <w:rsid w:val="00A26379"/>
    <w:rsid w:val="00A26959"/>
    <w:rsid w:val="00A26CEC"/>
    <w:rsid w:val="00A27C44"/>
    <w:rsid w:val="00A3233F"/>
    <w:rsid w:val="00A32D5B"/>
    <w:rsid w:val="00A332B4"/>
    <w:rsid w:val="00A33E10"/>
    <w:rsid w:val="00A34474"/>
    <w:rsid w:val="00A36B0D"/>
    <w:rsid w:val="00A36F7A"/>
    <w:rsid w:val="00A37D08"/>
    <w:rsid w:val="00A417E5"/>
    <w:rsid w:val="00A442A5"/>
    <w:rsid w:val="00A4718F"/>
    <w:rsid w:val="00A51651"/>
    <w:rsid w:val="00A51B21"/>
    <w:rsid w:val="00A52FB9"/>
    <w:rsid w:val="00A554FF"/>
    <w:rsid w:val="00A56158"/>
    <w:rsid w:val="00A60578"/>
    <w:rsid w:val="00A60B42"/>
    <w:rsid w:val="00A61264"/>
    <w:rsid w:val="00A615A4"/>
    <w:rsid w:val="00A636B3"/>
    <w:rsid w:val="00A63BF3"/>
    <w:rsid w:val="00A659BC"/>
    <w:rsid w:val="00A66DF3"/>
    <w:rsid w:val="00A70F26"/>
    <w:rsid w:val="00A70F6B"/>
    <w:rsid w:val="00A75136"/>
    <w:rsid w:val="00A75458"/>
    <w:rsid w:val="00A758BE"/>
    <w:rsid w:val="00A76942"/>
    <w:rsid w:val="00A80074"/>
    <w:rsid w:val="00A804B1"/>
    <w:rsid w:val="00A8070C"/>
    <w:rsid w:val="00A82D76"/>
    <w:rsid w:val="00A83ED8"/>
    <w:rsid w:val="00A85A7A"/>
    <w:rsid w:val="00A8653D"/>
    <w:rsid w:val="00A877B2"/>
    <w:rsid w:val="00A87D0F"/>
    <w:rsid w:val="00A929F1"/>
    <w:rsid w:val="00A9376A"/>
    <w:rsid w:val="00A94BE2"/>
    <w:rsid w:val="00A96AD4"/>
    <w:rsid w:val="00A976F3"/>
    <w:rsid w:val="00A9784A"/>
    <w:rsid w:val="00A97939"/>
    <w:rsid w:val="00A97A11"/>
    <w:rsid w:val="00AA0128"/>
    <w:rsid w:val="00AA224C"/>
    <w:rsid w:val="00AA47EB"/>
    <w:rsid w:val="00AA493D"/>
    <w:rsid w:val="00AA52D2"/>
    <w:rsid w:val="00AB0D58"/>
    <w:rsid w:val="00AB1688"/>
    <w:rsid w:val="00AB1936"/>
    <w:rsid w:val="00AB2628"/>
    <w:rsid w:val="00AB2D6C"/>
    <w:rsid w:val="00AB36A9"/>
    <w:rsid w:val="00AB3AAE"/>
    <w:rsid w:val="00AB527A"/>
    <w:rsid w:val="00AB5639"/>
    <w:rsid w:val="00AB681F"/>
    <w:rsid w:val="00AB6D41"/>
    <w:rsid w:val="00AB6E1C"/>
    <w:rsid w:val="00AB7917"/>
    <w:rsid w:val="00AC007A"/>
    <w:rsid w:val="00AC16FE"/>
    <w:rsid w:val="00AC2371"/>
    <w:rsid w:val="00AC275C"/>
    <w:rsid w:val="00AC2C20"/>
    <w:rsid w:val="00AC4714"/>
    <w:rsid w:val="00AC72B8"/>
    <w:rsid w:val="00AD2A12"/>
    <w:rsid w:val="00AD4F5A"/>
    <w:rsid w:val="00AD539B"/>
    <w:rsid w:val="00AD69E1"/>
    <w:rsid w:val="00AD7799"/>
    <w:rsid w:val="00AD7CCC"/>
    <w:rsid w:val="00AE0F53"/>
    <w:rsid w:val="00AE1736"/>
    <w:rsid w:val="00AE194E"/>
    <w:rsid w:val="00AE284E"/>
    <w:rsid w:val="00AE605D"/>
    <w:rsid w:val="00AE71AF"/>
    <w:rsid w:val="00AF044E"/>
    <w:rsid w:val="00AF11B4"/>
    <w:rsid w:val="00AF2B57"/>
    <w:rsid w:val="00AF31A0"/>
    <w:rsid w:val="00AF3F34"/>
    <w:rsid w:val="00AF4430"/>
    <w:rsid w:val="00AF7581"/>
    <w:rsid w:val="00B01A85"/>
    <w:rsid w:val="00B02325"/>
    <w:rsid w:val="00B05B21"/>
    <w:rsid w:val="00B07551"/>
    <w:rsid w:val="00B07D7C"/>
    <w:rsid w:val="00B144F1"/>
    <w:rsid w:val="00B16110"/>
    <w:rsid w:val="00B165E9"/>
    <w:rsid w:val="00B16FB6"/>
    <w:rsid w:val="00B17133"/>
    <w:rsid w:val="00B202BF"/>
    <w:rsid w:val="00B206D1"/>
    <w:rsid w:val="00B2183E"/>
    <w:rsid w:val="00B2397F"/>
    <w:rsid w:val="00B24660"/>
    <w:rsid w:val="00B2704F"/>
    <w:rsid w:val="00B276B7"/>
    <w:rsid w:val="00B2799B"/>
    <w:rsid w:val="00B27D21"/>
    <w:rsid w:val="00B304ED"/>
    <w:rsid w:val="00B30B69"/>
    <w:rsid w:val="00B30BEB"/>
    <w:rsid w:val="00B31619"/>
    <w:rsid w:val="00B32212"/>
    <w:rsid w:val="00B32F71"/>
    <w:rsid w:val="00B3604B"/>
    <w:rsid w:val="00B36514"/>
    <w:rsid w:val="00B36515"/>
    <w:rsid w:val="00B37542"/>
    <w:rsid w:val="00B423BD"/>
    <w:rsid w:val="00B444C5"/>
    <w:rsid w:val="00B46154"/>
    <w:rsid w:val="00B510CF"/>
    <w:rsid w:val="00B5196B"/>
    <w:rsid w:val="00B51DDB"/>
    <w:rsid w:val="00B5207C"/>
    <w:rsid w:val="00B54DE6"/>
    <w:rsid w:val="00B57896"/>
    <w:rsid w:val="00B60E8F"/>
    <w:rsid w:val="00B61639"/>
    <w:rsid w:val="00B61E4D"/>
    <w:rsid w:val="00B62A29"/>
    <w:rsid w:val="00B64E55"/>
    <w:rsid w:val="00B656BB"/>
    <w:rsid w:val="00B7104C"/>
    <w:rsid w:val="00B71865"/>
    <w:rsid w:val="00B7246C"/>
    <w:rsid w:val="00B72955"/>
    <w:rsid w:val="00B72E1F"/>
    <w:rsid w:val="00B7792B"/>
    <w:rsid w:val="00B77E1E"/>
    <w:rsid w:val="00B80786"/>
    <w:rsid w:val="00B85316"/>
    <w:rsid w:val="00B8540B"/>
    <w:rsid w:val="00B85A46"/>
    <w:rsid w:val="00B85E06"/>
    <w:rsid w:val="00B862AD"/>
    <w:rsid w:val="00B863F1"/>
    <w:rsid w:val="00B87AD1"/>
    <w:rsid w:val="00B91BB8"/>
    <w:rsid w:val="00B926F6"/>
    <w:rsid w:val="00B9321B"/>
    <w:rsid w:val="00B93668"/>
    <w:rsid w:val="00B93A57"/>
    <w:rsid w:val="00B94849"/>
    <w:rsid w:val="00B953BA"/>
    <w:rsid w:val="00B955B6"/>
    <w:rsid w:val="00B95744"/>
    <w:rsid w:val="00B96498"/>
    <w:rsid w:val="00B966AE"/>
    <w:rsid w:val="00B97A2B"/>
    <w:rsid w:val="00BA0B38"/>
    <w:rsid w:val="00BA2BF0"/>
    <w:rsid w:val="00BA31B1"/>
    <w:rsid w:val="00BA4162"/>
    <w:rsid w:val="00BA595E"/>
    <w:rsid w:val="00BA5D20"/>
    <w:rsid w:val="00BA5EE4"/>
    <w:rsid w:val="00BA5F00"/>
    <w:rsid w:val="00BA66B1"/>
    <w:rsid w:val="00BA69A8"/>
    <w:rsid w:val="00BA73F4"/>
    <w:rsid w:val="00BA7845"/>
    <w:rsid w:val="00BB0C08"/>
    <w:rsid w:val="00BB302D"/>
    <w:rsid w:val="00BB327D"/>
    <w:rsid w:val="00BB517D"/>
    <w:rsid w:val="00BB527F"/>
    <w:rsid w:val="00BB5B0E"/>
    <w:rsid w:val="00BB7312"/>
    <w:rsid w:val="00BC29CF"/>
    <w:rsid w:val="00BC6916"/>
    <w:rsid w:val="00BC6D15"/>
    <w:rsid w:val="00BC7A32"/>
    <w:rsid w:val="00BD22FC"/>
    <w:rsid w:val="00BD3B4F"/>
    <w:rsid w:val="00BD3DDC"/>
    <w:rsid w:val="00BD5C36"/>
    <w:rsid w:val="00BD6017"/>
    <w:rsid w:val="00BE033C"/>
    <w:rsid w:val="00BE09F0"/>
    <w:rsid w:val="00BE29AD"/>
    <w:rsid w:val="00BE3E5E"/>
    <w:rsid w:val="00BE641C"/>
    <w:rsid w:val="00BE6AF4"/>
    <w:rsid w:val="00BE6F1C"/>
    <w:rsid w:val="00BE7567"/>
    <w:rsid w:val="00BE79CE"/>
    <w:rsid w:val="00BF0ECB"/>
    <w:rsid w:val="00BF0FDD"/>
    <w:rsid w:val="00BF11DF"/>
    <w:rsid w:val="00BF1D89"/>
    <w:rsid w:val="00BF344B"/>
    <w:rsid w:val="00BF7AF7"/>
    <w:rsid w:val="00BF7DB3"/>
    <w:rsid w:val="00BF7E2F"/>
    <w:rsid w:val="00C014D4"/>
    <w:rsid w:val="00C01EE2"/>
    <w:rsid w:val="00C01F54"/>
    <w:rsid w:val="00C027FB"/>
    <w:rsid w:val="00C0417C"/>
    <w:rsid w:val="00C04492"/>
    <w:rsid w:val="00C058FA"/>
    <w:rsid w:val="00C05B72"/>
    <w:rsid w:val="00C0612E"/>
    <w:rsid w:val="00C06D05"/>
    <w:rsid w:val="00C071DA"/>
    <w:rsid w:val="00C07551"/>
    <w:rsid w:val="00C07952"/>
    <w:rsid w:val="00C07E19"/>
    <w:rsid w:val="00C1048C"/>
    <w:rsid w:val="00C10664"/>
    <w:rsid w:val="00C1147D"/>
    <w:rsid w:val="00C134A3"/>
    <w:rsid w:val="00C14A98"/>
    <w:rsid w:val="00C156E8"/>
    <w:rsid w:val="00C15970"/>
    <w:rsid w:val="00C16F07"/>
    <w:rsid w:val="00C1741F"/>
    <w:rsid w:val="00C22052"/>
    <w:rsid w:val="00C22251"/>
    <w:rsid w:val="00C223EB"/>
    <w:rsid w:val="00C23027"/>
    <w:rsid w:val="00C23A2B"/>
    <w:rsid w:val="00C276FD"/>
    <w:rsid w:val="00C27A7A"/>
    <w:rsid w:val="00C30315"/>
    <w:rsid w:val="00C312A5"/>
    <w:rsid w:val="00C337D0"/>
    <w:rsid w:val="00C34571"/>
    <w:rsid w:val="00C36F80"/>
    <w:rsid w:val="00C372BC"/>
    <w:rsid w:val="00C376A1"/>
    <w:rsid w:val="00C403D2"/>
    <w:rsid w:val="00C42266"/>
    <w:rsid w:val="00C42B82"/>
    <w:rsid w:val="00C44241"/>
    <w:rsid w:val="00C44C51"/>
    <w:rsid w:val="00C45A55"/>
    <w:rsid w:val="00C46027"/>
    <w:rsid w:val="00C46075"/>
    <w:rsid w:val="00C46577"/>
    <w:rsid w:val="00C511E1"/>
    <w:rsid w:val="00C51AD0"/>
    <w:rsid w:val="00C52617"/>
    <w:rsid w:val="00C52D8C"/>
    <w:rsid w:val="00C52FC1"/>
    <w:rsid w:val="00C54F31"/>
    <w:rsid w:val="00C57588"/>
    <w:rsid w:val="00C57D1D"/>
    <w:rsid w:val="00C57F3B"/>
    <w:rsid w:val="00C60DAB"/>
    <w:rsid w:val="00C60EB7"/>
    <w:rsid w:val="00C62636"/>
    <w:rsid w:val="00C634EB"/>
    <w:rsid w:val="00C63FF0"/>
    <w:rsid w:val="00C658EE"/>
    <w:rsid w:val="00C65D63"/>
    <w:rsid w:val="00C65E9F"/>
    <w:rsid w:val="00C66A26"/>
    <w:rsid w:val="00C710E0"/>
    <w:rsid w:val="00C71555"/>
    <w:rsid w:val="00C719A7"/>
    <w:rsid w:val="00C742CE"/>
    <w:rsid w:val="00C75C01"/>
    <w:rsid w:val="00C76DBB"/>
    <w:rsid w:val="00C779CD"/>
    <w:rsid w:val="00C8136C"/>
    <w:rsid w:val="00C82B32"/>
    <w:rsid w:val="00C83858"/>
    <w:rsid w:val="00C85516"/>
    <w:rsid w:val="00C85A69"/>
    <w:rsid w:val="00C860B2"/>
    <w:rsid w:val="00C860E0"/>
    <w:rsid w:val="00C86954"/>
    <w:rsid w:val="00C86E55"/>
    <w:rsid w:val="00C90607"/>
    <w:rsid w:val="00C90A9D"/>
    <w:rsid w:val="00C91C39"/>
    <w:rsid w:val="00C934B8"/>
    <w:rsid w:val="00C95192"/>
    <w:rsid w:val="00C965F4"/>
    <w:rsid w:val="00CA0833"/>
    <w:rsid w:val="00CA0DBA"/>
    <w:rsid w:val="00CA156E"/>
    <w:rsid w:val="00CA1A99"/>
    <w:rsid w:val="00CA266B"/>
    <w:rsid w:val="00CA3529"/>
    <w:rsid w:val="00CA352D"/>
    <w:rsid w:val="00CA3CB3"/>
    <w:rsid w:val="00CB0D59"/>
    <w:rsid w:val="00CB30CD"/>
    <w:rsid w:val="00CB3476"/>
    <w:rsid w:val="00CB40B9"/>
    <w:rsid w:val="00CB57F8"/>
    <w:rsid w:val="00CC069C"/>
    <w:rsid w:val="00CC17FF"/>
    <w:rsid w:val="00CC1CA5"/>
    <w:rsid w:val="00CC1FDB"/>
    <w:rsid w:val="00CC247A"/>
    <w:rsid w:val="00CC409E"/>
    <w:rsid w:val="00CC4561"/>
    <w:rsid w:val="00CC4591"/>
    <w:rsid w:val="00CC494C"/>
    <w:rsid w:val="00CC4975"/>
    <w:rsid w:val="00CC64C0"/>
    <w:rsid w:val="00CC76D2"/>
    <w:rsid w:val="00CD2AF8"/>
    <w:rsid w:val="00CD329E"/>
    <w:rsid w:val="00CD3B0D"/>
    <w:rsid w:val="00CD5871"/>
    <w:rsid w:val="00CE03BF"/>
    <w:rsid w:val="00CE0B0E"/>
    <w:rsid w:val="00CE1FCE"/>
    <w:rsid w:val="00CE43A8"/>
    <w:rsid w:val="00CE5492"/>
    <w:rsid w:val="00CE569D"/>
    <w:rsid w:val="00CE6657"/>
    <w:rsid w:val="00CE6D75"/>
    <w:rsid w:val="00CE72A0"/>
    <w:rsid w:val="00CF0E00"/>
    <w:rsid w:val="00CF53EE"/>
    <w:rsid w:val="00CF541B"/>
    <w:rsid w:val="00CF61B5"/>
    <w:rsid w:val="00CF7B12"/>
    <w:rsid w:val="00CF7D30"/>
    <w:rsid w:val="00D00DE5"/>
    <w:rsid w:val="00D02323"/>
    <w:rsid w:val="00D02AE0"/>
    <w:rsid w:val="00D038D3"/>
    <w:rsid w:val="00D07174"/>
    <w:rsid w:val="00D07DBA"/>
    <w:rsid w:val="00D10683"/>
    <w:rsid w:val="00D10E41"/>
    <w:rsid w:val="00D12D18"/>
    <w:rsid w:val="00D13216"/>
    <w:rsid w:val="00D144B1"/>
    <w:rsid w:val="00D1454E"/>
    <w:rsid w:val="00D1617A"/>
    <w:rsid w:val="00D17FD6"/>
    <w:rsid w:val="00D23758"/>
    <w:rsid w:val="00D26339"/>
    <w:rsid w:val="00D269E1"/>
    <w:rsid w:val="00D30A84"/>
    <w:rsid w:val="00D34ED7"/>
    <w:rsid w:val="00D35D45"/>
    <w:rsid w:val="00D36560"/>
    <w:rsid w:val="00D36743"/>
    <w:rsid w:val="00D41109"/>
    <w:rsid w:val="00D42647"/>
    <w:rsid w:val="00D4579D"/>
    <w:rsid w:val="00D45890"/>
    <w:rsid w:val="00D45A18"/>
    <w:rsid w:val="00D45F17"/>
    <w:rsid w:val="00D47B6C"/>
    <w:rsid w:val="00D47FAC"/>
    <w:rsid w:val="00D50DC9"/>
    <w:rsid w:val="00D5121F"/>
    <w:rsid w:val="00D522D0"/>
    <w:rsid w:val="00D52E44"/>
    <w:rsid w:val="00D5531B"/>
    <w:rsid w:val="00D55465"/>
    <w:rsid w:val="00D55FA3"/>
    <w:rsid w:val="00D57784"/>
    <w:rsid w:val="00D5790B"/>
    <w:rsid w:val="00D60C1D"/>
    <w:rsid w:val="00D61181"/>
    <w:rsid w:val="00D614C9"/>
    <w:rsid w:val="00D625D9"/>
    <w:rsid w:val="00D62733"/>
    <w:rsid w:val="00D63683"/>
    <w:rsid w:val="00D6411E"/>
    <w:rsid w:val="00D70FE1"/>
    <w:rsid w:val="00D727AC"/>
    <w:rsid w:val="00D74452"/>
    <w:rsid w:val="00D75B30"/>
    <w:rsid w:val="00D80371"/>
    <w:rsid w:val="00D83CBB"/>
    <w:rsid w:val="00D83FA9"/>
    <w:rsid w:val="00D8417E"/>
    <w:rsid w:val="00D8495A"/>
    <w:rsid w:val="00D902BA"/>
    <w:rsid w:val="00D905ED"/>
    <w:rsid w:val="00D90818"/>
    <w:rsid w:val="00D91F00"/>
    <w:rsid w:val="00D956F3"/>
    <w:rsid w:val="00D97C61"/>
    <w:rsid w:val="00D97D50"/>
    <w:rsid w:val="00DA156C"/>
    <w:rsid w:val="00DA33BD"/>
    <w:rsid w:val="00DA48EF"/>
    <w:rsid w:val="00DA4FAA"/>
    <w:rsid w:val="00DA64CA"/>
    <w:rsid w:val="00DB5D28"/>
    <w:rsid w:val="00DB668A"/>
    <w:rsid w:val="00DB6F7D"/>
    <w:rsid w:val="00DB7588"/>
    <w:rsid w:val="00DC1C66"/>
    <w:rsid w:val="00DC3A3F"/>
    <w:rsid w:val="00DC4A0C"/>
    <w:rsid w:val="00DC593E"/>
    <w:rsid w:val="00DC5D4A"/>
    <w:rsid w:val="00DC6021"/>
    <w:rsid w:val="00DC7705"/>
    <w:rsid w:val="00DC7750"/>
    <w:rsid w:val="00DC7830"/>
    <w:rsid w:val="00DD0975"/>
    <w:rsid w:val="00DD27FC"/>
    <w:rsid w:val="00DD3B27"/>
    <w:rsid w:val="00DD497E"/>
    <w:rsid w:val="00DD6440"/>
    <w:rsid w:val="00DE0176"/>
    <w:rsid w:val="00DE1171"/>
    <w:rsid w:val="00DE28F9"/>
    <w:rsid w:val="00DE2B26"/>
    <w:rsid w:val="00DE4900"/>
    <w:rsid w:val="00DE4FC8"/>
    <w:rsid w:val="00DE50FA"/>
    <w:rsid w:val="00DE5205"/>
    <w:rsid w:val="00DE548D"/>
    <w:rsid w:val="00DE6FF9"/>
    <w:rsid w:val="00DE7041"/>
    <w:rsid w:val="00DF0F97"/>
    <w:rsid w:val="00DF18A1"/>
    <w:rsid w:val="00DF1B39"/>
    <w:rsid w:val="00DF3475"/>
    <w:rsid w:val="00DF423A"/>
    <w:rsid w:val="00DF44C8"/>
    <w:rsid w:val="00DF4A6F"/>
    <w:rsid w:val="00DF72EC"/>
    <w:rsid w:val="00DF7954"/>
    <w:rsid w:val="00DF7A1F"/>
    <w:rsid w:val="00DF7A72"/>
    <w:rsid w:val="00E00AF7"/>
    <w:rsid w:val="00E025DF"/>
    <w:rsid w:val="00E03A89"/>
    <w:rsid w:val="00E03B29"/>
    <w:rsid w:val="00E0486D"/>
    <w:rsid w:val="00E0491F"/>
    <w:rsid w:val="00E04F35"/>
    <w:rsid w:val="00E04F3B"/>
    <w:rsid w:val="00E0665F"/>
    <w:rsid w:val="00E066F3"/>
    <w:rsid w:val="00E10DC2"/>
    <w:rsid w:val="00E123D8"/>
    <w:rsid w:val="00E12AFB"/>
    <w:rsid w:val="00E1381A"/>
    <w:rsid w:val="00E14AAE"/>
    <w:rsid w:val="00E155AD"/>
    <w:rsid w:val="00E16433"/>
    <w:rsid w:val="00E17D50"/>
    <w:rsid w:val="00E20191"/>
    <w:rsid w:val="00E20DBB"/>
    <w:rsid w:val="00E20FAD"/>
    <w:rsid w:val="00E216BA"/>
    <w:rsid w:val="00E22A8E"/>
    <w:rsid w:val="00E342FF"/>
    <w:rsid w:val="00E348F3"/>
    <w:rsid w:val="00E34FD3"/>
    <w:rsid w:val="00E36ED8"/>
    <w:rsid w:val="00E42FF0"/>
    <w:rsid w:val="00E43698"/>
    <w:rsid w:val="00E43843"/>
    <w:rsid w:val="00E4415E"/>
    <w:rsid w:val="00E447FE"/>
    <w:rsid w:val="00E4591F"/>
    <w:rsid w:val="00E4710F"/>
    <w:rsid w:val="00E47FAD"/>
    <w:rsid w:val="00E50D37"/>
    <w:rsid w:val="00E5136F"/>
    <w:rsid w:val="00E51E00"/>
    <w:rsid w:val="00E53765"/>
    <w:rsid w:val="00E6104A"/>
    <w:rsid w:val="00E61AA0"/>
    <w:rsid w:val="00E6298E"/>
    <w:rsid w:val="00E63016"/>
    <w:rsid w:val="00E728F5"/>
    <w:rsid w:val="00E74B05"/>
    <w:rsid w:val="00E77389"/>
    <w:rsid w:val="00E773C9"/>
    <w:rsid w:val="00E77F5D"/>
    <w:rsid w:val="00E8167D"/>
    <w:rsid w:val="00E81A05"/>
    <w:rsid w:val="00E82DED"/>
    <w:rsid w:val="00E83073"/>
    <w:rsid w:val="00E84AD7"/>
    <w:rsid w:val="00E86F4D"/>
    <w:rsid w:val="00E87123"/>
    <w:rsid w:val="00E873F8"/>
    <w:rsid w:val="00E90005"/>
    <w:rsid w:val="00E92B66"/>
    <w:rsid w:val="00E92E12"/>
    <w:rsid w:val="00E965D2"/>
    <w:rsid w:val="00E97568"/>
    <w:rsid w:val="00EA030B"/>
    <w:rsid w:val="00EA0556"/>
    <w:rsid w:val="00EA06E0"/>
    <w:rsid w:val="00EA1301"/>
    <w:rsid w:val="00EA1738"/>
    <w:rsid w:val="00EA242A"/>
    <w:rsid w:val="00EA3BF5"/>
    <w:rsid w:val="00EA4104"/>
    <w:rsid w:val="00EA51CC"/>
    <w:rsid w:val="00EA5368"/>
    <w:rsid w:val="00EA589C"/>
    <w:rsid w:val="00EA6B81"/>
    <w:rsid w:val="00EA7331"/>
    <w:rsid w:val="00EB1637"/>
    <w:rsid w:val="00EB1DCA"/>
    <w:rsid w:val="00EB2E94"/>
    <w:rsid w:val="00EB2F4A"/>
    <w:rsid w:val="00EB2F4F"/>
    <w:rsid w:val="00EB4B8A"/>
    <w:rsid w:val="00EB6F39"/>
    <w:rsid w:val="00EB7A60"/>
    <w:rsid w:val="00EC13B8"/>
    <w:rsid w:val="00EC32F0"/>
    <w:rsid w:val="00EC3BDF"/>
    <w:rsid w:val="00EC3F02"/>
    <w:rsid w:val="00EC5A2E"/>
    <w:rsid w:val="00EC6350"/>
    <w:rsid w:val="00EC7973"/>
    <w:rsid w:val="00EC7A1A"/>
    <w:rsid w:val="00ED0537"/>
    <w:rsid w:val="00ED0F5A"/>
    <w:rsid w:val="00ED17C1"/>
    <w:rsid w:val="00ED23FB"/>
    <w:rsid w:val="00ED2748"/>
    <w:rsid w:val="00ED4373"/>
    <w:rsid w:val="00ED5027"/>
    <w:rsid w:val="00ED5D9D"/>
    <w:rsid w:val="00ED5E06"/>
    <w:rsid w:val="00ED7DA5"/>
    <w:rsid w:val="00EE0682"/>
    <w:rsid w:val="00EE0FEB"/>
    <w:rsid w:val="00EE29E1"/>
    <w:rsid w:val="00EE67E2"/>
    <w:rsid w:val="00EE699A"/>
    <w:rsid w:val="00EE6A96"/>
    <w:rsid w:val="00EE76B7"/>
    <w:rsid w:val="00EF0819"/>
    <w:rsid w:val="00EF0A19"/>
    <w:rsid w:val="00EF2197"/>
    <w:rsid w:val="00EF3C3D"/>
    <w:rsid w:val="00EF3DB6"/>
    <w:rsid w:val="00EF43C3"/>
    <w:rsid w:val="00EF5E48"/>
    <w:rsid w:val="00EF65A2"/>
    <w:rsid w:val="00F0062B"/>
    <w:rsid w:val="00F0170C"/>
    <w:rsid w:val="00F01F11"/>
    <w:rsid w:val="00F021A1"/>
    <w:rsid w:val="00F02F2F"/>
    <w:rsid w:val="00F0312A"/>
    <w:rsid w:val="00F0351C"/>
    <w:rsid w:val="00F06717"/>
    <w:rsid w:val="00F06E89"/>
    <w:rsid w:val="00F072E3"/>
    <w:rsid w:val="00F126C6"/>
    <w:rsid w:val="00F143BB"/>
    <w:rsid w:val="00F159EA"/>
    <w:rsid w:val="00F167A3"/>
    <w:rsid w:val="00F1728C"/>
    <w:rsid w:val="00F217FB"/>
    <w:rsid w:val="00F21A80"/>
    <w:rsid w:val="00F21AB7"/>
    <w:rsid w:val="00F221DA"/>
    <w:rsid w:val="00F2257E"/>
    <w:rsid w:val="00F2306D"/>
    <w:rsid w:val="00F238DF"/>
    <w:rsid w:val="00F239C6"/>
    <w:rsid w:val="00F23FDA"/>
    <w:rsid w:val="00F25427"/>
    <w:rsid w:val="00F259D8"/>
    <w:rsid w:val="00F25B91"/>
    <w:rsid w:val="00F25BFC"/>
    <w:rsid w:val="00F270D8"/>
    <w:rsid w:val="00F27371"/>
    <w:rsid w:val="00F2793B"/>
    <w:rsid w:val="00F34AB4"/>
    <w:rsid w:val="00F3622C"/>
    <w:rsid w:val="00F445BF"/>
    <w:rsid w:val="00F47E3B"/>
    <w:rsid w:val="00F51B42"/>
    <w:rsid w:val="00F51FDE"/>
    <w:rsid w:val="00F524C8"/>
    <w:rsid w:val="00F534A1"/>
    <w:rsid w:val="00F547F2"/>
    <w:rsid w:val="00F57522"/>
    <w:rsid w:val="00F61287"/>
    <w:rsid w:val="00F61618"/>
    <w:rsid w:val="00F621C5"/>
    <w:rsid w:val="00F6314D"/>
    <w:rsid w:val="00F65E7C"/>
    <w:rsid w:val="00F65FD6"/>
    <w:rsid w:val="00F661FA"/>
    <w:rsid w:val="00F66434"/>
    <w:rsid w:val="00F67434"/>
    <w:rsid w:val="00F67D86"/>
    <w:rsid w:val="00F7180E"/>
    <w:rsid w:val="00F71F16"/>
    <w:rsid w:val="00F733AC"/>
    <w:rsid w:val="00F73738"/>
    <w:rsid w:val="00F7587E"/>
    <w:rsid w:val="00F8029A"/>
    <w:rsid w:val="00F803BD"/>
    <w:rsid w:val="00F81341"/>
    <w:rsid w:val="00F82E6D"/>
    <w:rsid w:val="00F8404E"/>
    <w:rsid w:val="00F8528C"/>
    <w:rsid w:val="00F866F6"/>
    <w:rsid w:val="00F9352E"/>
    <w:rsid w:val="00F945C9"/>
    <w:rsid w:val="00F9538C"/>
    <w:rsid w:val="00F96728"/>
    <w:rsid w:val="00F97251"/>
    <w:rsid w:val="00F974A2"/>
    <w:rsid w:val="00F97573"/>
    <w:rsid w:val="00FA446D"/>
    <w:rsid w:val="00FA4CE9"/>
    <w:rsid w:val="00FA7E29"/>
    <w:rsid w:val="00FB0946"/>
    <w:rsid w:val="00FB3279"/>
    <w:rsid w:val="00FB708A"/>
    <w:rsid w:val="00FC08C3"/>
    <w:rsid w:val="00FC19E4"/>
    <w:rsid w:val="00FC1E0A"/>
    <w:rsid w:val="00FC260C"/>
    <w:rsid w:val="00FC4391"/>
    <w:rsid w:val="00FC58C0"/>
    <w:rsid w:val="00FC6D73"/>
    <w:rsid w:val="00FD0BFD"/>
    <w:rsid w:val="00FD0EB6"/>
    <w:rsid w:val="00FD1AAF"/>
    <w:rsid w:val="00FE0BCE"/>
    <w:rsid w:val="00FE1C0C"/>
    <w:rsid w:val="00FE47FC"/>
    <w:rsid w:val="00FE557F"/>
    <w:rsid w:val="00FE5743"/>
    <w:rsid w:val="00FE7829"/>
    <w:rsid w:val="00FF6335"/>
    <w:rsid w:val="00FF6D53"/>
    <w:rsid w:val="00FF7039"/>
    <w:rsid w:val="00FF7531"/>
    <w:rsid w:val="00FF7865"/>
    <w:rsid w:val="00FF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35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427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D594D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8D594D"/>
    <w:rPr>
      <w:rFonts w:cs="Times New Roman"/>
      <w:color w:val="800080"/>
      <w:u w:val="single"/>
    </w:rPr>
  </w:style>
  <w:style w:type="paragraph" w:styleId="Caption">
    <w:name w:val="caption"/>
    <w:basedOn w:val="Normal"/>
    <w:next w:val="Normal"/>
    <w:uiPriority w:val="35"/>
    <w:qFormat/>
    <w:rsid w:val="00077708"/>
    <w:pPr>
      <w:spacing w:after="200" w:line="360" w:lineRule="auto"/>
    </w:pPr>
    <w:rPr>
      <w:bCs/>
      <w:szCs w:val="18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rsid w:val="00133D2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Pr>
      <w:rFonts w:cs="Times New Roman"/>
      <w:sz w:val="2"/>
    </w:rPr>
  </w:style>
  <w:style w:type="paragraph" w:customStyle="1" w:styleId="NormalJustified">
    <w:name w:val="Normal + Justified"/>
    <w:basedOn w:val="Normal"/>
    <w:link w:val="NormalJustifiedChar"/>
    <w:rsid w:val="00773858"/>
    <w:pPr>
      <w:spacing w:after="120"/>
      <w:jc w:val="both"/>
    </w:pPr>
    <w:rPr>
      <w:lang w:eastAsia="zh-CN"/>
    </w:rPr>
  </w:style>
  <w:style w:type="character" w:customStyle="1" w:styleId="NormalJustifiedChar">
    <w:name w:val="Normal + Justified Char"/>
    <w:link w:val="NormalJustified"/>
    <w:rsid w:val="00773858"/>
    <w:rPr>
      <w:rFonts w:eastAsia="SimSun"/>
      <w:sz w:val="24"/>
      <w:szCs w:val="24"/>
      <w:lang w:val="en-US" w:eastAsia="zh-CN" w:bidi="ar-SA"/>
    </w:rPr>
  </w:style>
  <w:style w:type="paragraph" w:customStyle="1" w:styleId="Default">
    <w:name w:val="Default"/>
    <w:rsid w:val="00CE6D75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character" w:styleId="CommentReference">
    <w:name w:val="annotation reference"/>
    <w:uiPriority w:val="99"/>
    <w:semiHidden/>
    <w:unhideWhenUsed/>
    <w:rsid w:val="00F21A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A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AB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AB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21A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21AB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B36A9"/>
    <w:pPr>
      <w:spacing w:before="100" w:beforeAutospacing="1" w:after="100" w:afterAutospacing="1"/>
    </w:pPr>
    <w:rPr>
      <w:rFonts w:eastAsia="Calibri"/>
    </w:rPr>
  </w:style>
  <w:style w:type="paragraph" w:styleId="ListParagraph">
    <w:name w:val="List Paragraph"/>
    <w:basedOn w:val="Normal"/>
    <w:uiPriority w:val="34"/>
    <w:qFormat/>
    <w:rsid w:val="009A14E1"/>
    <w:pPr>
      <w:spacing w:after="200" w:line="276" w:lineRule="auto"/>
      <w:ind w:left="720"/>
      <w:contextualSpacing/>
    </w:pPr>
    <w:rPr>
      <w:rFonts w:ascii="Cambria" w:eastAsia="Calibri" w:hAnsi="Cambria"/>
      <w:sz w:val="22"/>
      <w:szCs w:val="22"/>
    </w:rPr>
  </w:style>
  <w:style w:type="table" w:styleId="TableGrid">
    <w:name w:val="Table Grid"/>
    <w:basedOn w:val="TableNormal"/>
    <w:uiPriority w:val="59"/>
    <w:locked/>
    <w:rsid w:val="00BF344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35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427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D594D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8D594D"/>
    <w:rPr>
      <w:rFonts w:cs="Times New Roman"/>
      <w:color w:val="800080"/>
      <w:u w:val="single"/>
    </w:rPr>
  </w:style>
  <w:style w:type="paragraph" w:styleId="Caption">
    <w:name w:val="caption"/>
    <w:basedOn w:val="Normal"/>
    <w:next w:val="Normal"/>
    <w:uiPriority w:val="35"/>
    <w:qFormat/>
    <w:rsid w:val="00077708"/>
    <w:pPr>
      <w:spacing w:after="200" w:line="360" w:lineRule="auto"/>
    </w:pPr>
    <w:rPr>
      <w:bCs/>
      <w:szCs w:val="18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rsid w:val="00133D2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Pr>
      <w:rFonts w:cs="Times New Roman"/>
      <w:sz w:val="2"/>
    </w:rPr>
  </w:style>
  <w:style w:type="paragraph" w:customStyle="1" w:styleId="NormalJustified">
    <w:name w:val="Normal + Justified"/>
    <w:basedOn w:val="Normal"/>
    <w:link w:val="NormalJustifiedChar"/>
    <w:rsid w:val="00773858"/>
    <w:pPr>
      <w:spacing w:after="120"/>
      <w:jc w:val="both"/>
    </w:pPr>
    <w:rPr>
      <w:lang w:eastAsia="zh-CN"/>
    </w:rPr>
  </w:style>
  <w:style w:type="character" w:customStyle="1" w:styleId="NormalJustifiedChar">
    <w:name w:val="Normal + Justified Char"/>
    <w:link w:val="NormalJustified"/>
    <w:rsid w:val="00773858"/>
    <w:rPr>
      <w:rFonts w:eastAsia="SimSun"/>
      <w:sz w:val="24"/>
      <w:szCs w:val="24"/>
      <w:lang w:val="en-US" w:eastAsia="zh-CN" w:bidi="ar-SA"/>
    </w:rPr>
  </w:style>
  <w:style w:type="paragraph" w:customStyle="1" w:styleId="Default">
    <w:name w:val="Default"/>
    <w:rsid w:val="00CE6D75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character" w:styleId="CommentReference">
    <w:name w:val="annotation reference"/>
    <w:uiPriority w:val="99"/>
    <w:semiHidden/>
    <w:unhideWhenUsed/>
    <w:rsid w:val="00F21A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A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AB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AB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21A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21AB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B36A9"/>
    <w:pPr>
      <w:spacing w:before="100" w:beforeAutospacing="1" w:after="100" w:afterAutospacing="1"/>
    </w:pPr>
    <w:rPr>
      <w:rFonts w:eastAsia="Calibri"/>
    </w:rPr>
  </w:style>
  <w:style w:type="paragraph" w:styleId="ListParagraph">
    <w:name w:val="List Paragraph"/>
    <w:basedOn w:val="Normal"/>
    <w:uiPriority w:val="34"/>
    <w:qFormat/>
    <w:rsid w:val="009A14E1"/>
    <w:pPr>
      <w:spacing w:after="200" w:line="276" w:lineRule="auto"/>
      <w:ind w:left="720"/>
      <w:contextualSpacing/>
    </w:pPr>
    <w:rPr>
      <w:rFonts w:ascii="Cambria" w:eastAsia="Calibri" w:hAnsi="Cambria"/>
      <w:sz w:val="22"/>
      <w:szCs w:val="22"/>
    </w:rPr>
  </w:style>
  <w:style w:type="table" w:styleId="TableGrid">
    <w:name w:val="Table Grid"/>
    <w:basedOn w:val="TableNormal"/>
    <w:uiPriority w:val="59"/>
    <w:locked/>
    <w:rsid w:val="00BF344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jpeg"/><Relationship Id="rId18" Type="http://schemas.openxmlformats.org/officeDocument/2006/relationships/hyperlink" Target="mailto:info@ebatco.com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s://itunes.apple.com/us/podcast/on-subrogation/id1440520250?mt=2&amp;i=1000429359945" TargetMode="External"/><Relationship Id="rId17" Type="http://schemas.openxmlformats.org/officeDocument/2006/relationships/hyperlink" Target="mailto:info@ebatco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rathbonegroup.com/podcast/on-subro-live-chemicals-can-tell-the-story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oleObject" Target="embeddings/oleObject2.bin"/><Relationship Id="rId19" Type="http://schemas.openxmlformats.org/officeDocument/2006/relationships/hyperlink" Target="http://www.ebatco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yan%20Farel\Desktop\newsletter%20tri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newsletter trial</Template>
  <TotalTime>1</TotalTime>
  <Pages>3</Pages>
  <Words>786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5783</CharactersWithSpaces>
  <SharedDoc>false</SharedDoc>
  <HLinks>
    <vt:vector size="30" baseType="variant">
      <vt:variant>
        <vt:i4>2228263</vt:i4>
      </vt:variant>
      <vt:variant>
        <vt:i4>24</vt:i4>
      </vt:variant>
      <vt:variant>
        <vt:i4>0</vt:i4>
      </vt:variant>
      <vt:variant>
        <vt:i4>5</vt:i4>
      </vt:variant>
      <vt:variant>
        <vt:lpwstr>http://www.ebatco.com/</vt:lpwstr>
      </vt:variant>
      <vt:variant>
        <vt:lpwstr/>
      </vt:variant>
      <vt:variant>
        <vt:i4>5898349</vt:i4>
      </vt:variant>
      <vt:variant>
        <vt:i4>21</vt:i4>
      </vt:variant>
      <vt:variant>
        <vt:i4>0</vt:i4>
      </vt:variant>
      <vt:variant>
        <vt:i4>5</vt:i4>
      </vt:variant>
      <vt:variant>
        <vt:lpwstr>mailto:info@ebatco.com</vt:lpwstr>
      </vt:variant>
      <vt:variant>
        <vt:lpwstr/>
      </vt:variant>
      <vt:variant>
        <vt:i4>5898349</vt:i4>
      </vt:variant>
      <vt:variant>
        <vt:i4>18</vt:i4>
      </vt:variant>
      <vt:variant>
        <vt:i4>0</vt:i4>
      </vt:variant>
      <vt:variant>
        <vt:i4>5</vt:i4>
      </vt:variant>
      <vt:variant>
        <vt:lpwstr>mailto:info@ebatco.com</vt:lpwstr>
      </vt:variant>
      <vt:variant>
        <vt:lpwstr/>
      </vt:variant>
      <vt:variant>
        <vt:i4>458774</vt:i4>
      </vt:variant>
      <vt:variant>
        <vt:i4>9</vt:i4>
      </vt:variant>
      <vt:variant>
        <vt:i4>0</vt:i4>
      </vt:variant>
      <vt:variant>
        <vt:i4>5</vt:i4>
      </vt:variant>
      <vt:variant>
        <vt:lpwstr>https://itunes.apple.com/us/podcast/on-subrogation/id1440520250?mt=2&amp;i=1000429359945</vt:lpwstr>
      </vt:variant>
      <vt:variant>
        <vt:lpwstr/>
      </vt:variant>
      <vt:variant>
        <vt:i4>4391007</vt:i4>
      </vt:variant>
      <vt:variant>
        <vt:i4>6</vt:i4>
      </vt:variant>
      <vt:variant>
        <vt:i4>0</vt:i4>
      </vt:variant>
      <vt:variant>
        <vt:i4>5</vt:i4>
      </vt:variant>
      <vt:variant>
        <vt:lpwstr>https://www.rathbonegroup.com/podcast/on-subro-live-chemicals-can-tell-the-story/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Farel</dc:creator>
  <cp:lastModifiedBy>James Schroder</cp:lastModifiedBy>
  <cp:revision>3</cp:revision>
  <cp:lastPrinted>2011-11-29T15:28:00Z</cp:lastPrinted>
  <dcterms:created xsi:type="dcterms:W3CDTF">2019-02-28T14:50:00Z</dcterms:created>
  <dcterms:modified xsi:type="dcterms:W3CDTF">2019-02-28T14:51:00Z</dcterms:modified>
</cp:coreProperties>
</file>