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5872C6">
        <w:trPr>
          <w:trHeight w:val="570"/>
        </w:trPr>
        <w:tc>
          <w:tcPr>
            <w:tcW w:w="16150" w:type="dxa"/>
            <w:vAlign w:val="center"/>
          </w:tcPr>
          <w:p w14:paraId="31194E92" w14:textId="03B96409" w:rsidR="00D30A84" w:rsidRDefault="00D30A84" w:rsidP="00B80786">
            <w:pPr>
              <w:jc w:val="center"/>
              <w:rPr>
                <w:rFonts w:ascii="Arial" w:hAnsi="Arial" w:cs="Arial"/>
                <w:b/>
                <w:sz w:val="20"/>
                <w:szCs w:val="20"/>
              </w:rPr>
            </w:pPr>
          </w:p>
          <w:p w14:paraId="32E81453" w14:textId="341DBCFB" w:rsidR="00D30A84" w:rsidRDefault="006567D8"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73E7ABDE" wp14:editId="34E8CBEF">
                  <wp:extent cx="8228571" cy="91428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3 Jan-Feb.png"/>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1.8pt" o:ole="">
                  <v:imagedata r:id="rId6" o:title=""/>
                </v:shape>
                <o:OLEObject Type="Embed" ProgID="PBrush" ShapeID="_x0000_i1025" DrawAspect="Content" ObjectID="_1738762718" r:id="rId7"/>
              </w:object>
            </w:r>
          </w:p>
          <w:p w14:paraId="46178D5F" w14:textId="7F72A630" w:rsidR="00170327" w:rsidRDefault="00FA4116" w:rsidP="000C2875">
            <w:pPr>
              <w:ind w:left="1440" w:right="1440"/>
              <w:jc w:val="both"/>
              <w:rPr>
                <w:rStyle w:val="Hyperlink"/>
                <w:lang w:val="en"/>
              </w:rPr>
            </w:pPr>
            <w:r w:rsidRPr="00FA4116">
              <w:rPr>
                <w:color w:val="000000"/>
                <w:shd w:val="clear" w:color="auto" w:fill="FFFFFF"/>
              </w:rPr>
              <w:t>Magnesium is a promising candidate as an energy carrier for next-generation batteries. However, the cycling performance and capacity of magnesium batteries need to improve if they are to replace lithium-ion batteries. To this end, a research team focused on a novel cathode material with a spinel structure. Following extensive characterization and electrochemical performance experiments, they have found a specific composition that could open doors to high-performance magnesium rechargeable batteries.</w:t>
            </w:r>
            <w:r w:rsidR="005872C6">
              <w:rPr>
                <w:color w:val="000000"/>
                <w:shd w:val="clear" w:color="auto" w:fill="FFFFFF"/>
              </w:rPr>
              <w:t xml:space="preserve"> More on this exciting research news can be found at: </w:t>
            </w:r>
            <w:hyperlink r:id="rId8" w:history="1">
              <w:r w:rsidRPr="0097165B">
                <w:rPr>
                  <w:rStyle w:val="Hyperlink"/>
                  <w:lang w:val="en"/>
                </w:rPr>
                <w:t>https://www.sciencedaily.com/releases/2023/02/230209094127.htm</w:t>
              </w:r>
            </w:hyperlink>
            <w:r w:rsidR="00E96B4D">
              <w:rPr>
                <w:rStyle w:val="Hyperlink"/>
                <w:lang w:val="en"/>
              </w:rPr>
              <w:t>.</w:t>
            </w:r>
          </w:p>
          <w:p w14:paraId="3E3A3AA5" w14:textId="5AE895BF" w:rsidR="005872C6" w:rsidRDefault="005872C6" w:rsidP="000C2875">
            <w:pPr>
              <w:ind w:left="1440" w:right="1440"/>
              <w:jc w:val="both"/>
              <w:rPr>
                <w:rStyle w:val="Hyperlink"/>
                <w:lang w:val="en"/>
              </w:rPr>
            </w:pPr>
          </w:p>
          <w:p w14:paraId="27C59701" w14:textId="735AB0BB" w:rsidR="005872C6" w:rsidRDefault="005872C6" w:rsidP="000C2875">
            <w:pPr>
              <w:ind w:left="1440" w:right="1440"/>
              <w:jc w:val="both"/>
              <w:rPr>
                <w:color w:val="000000"/>
                <w:lang w:val="en"/>
              </w:rPr>
            </w:pPr>
            <w:r w:rsidRPr="005872C6">
              <w:rPr>
                <w:color w:val="000000"/>
                <w:lang w:val="en"/>
              </w:rPr>
              <w:t xml:space="preserve">Ebatco is ready to support the battery industry with a suite of testing for materials including cathodes, membranes, battery casings, coatings, adhesives, and more. This includes </w:t>
            </w:r>
            <w:proofErr w:type="spellStart"/>
            <w:r w:rsidRPr="005872C6">
              <w:rPr>
                <w:color w:val="000000"/>
                <w:lang w:val="en"/>
              </w:rPr>
              <w:t>nanoscratch</w:t>
            </w:r>
            <w:proofErr w:type="spellEnd"/>
            <w:r w:rsidRPr="005872C6">
              <w:rPr>
                <w:color w:val="000000"/>
                <w:lang w:val="en"/>
              </w:rPr>
              <w:t xml:space="preserve">, </w:t>
            </w:r>
            <w:proofErr w:type="spellStart"/>
            <w:r w:rsidRPr="005872C6">
              <w:rPr>
                <w:color w:val="000000"/>
                <w:lang w:val="en"/>
              </w:rPr>
              <w:t>macroscratch</w:t>
            </w:r>
            <w:proofErr w:type="spellEnd"/>
            <w:r w:rsidRPr="005872C6">
              <w:rPr>
                <w:color w:val="000000"/>
                <w:lang w:val="en"/>
              </w:rPr>
              <w:t>, nanoindentation, contact angle, pore size, Zeta potential, and more.</w:t>
            </w:r>
          </w:p>
          <w:p w14:paraId="309B901D" w14:textId="77777777" w:rsidR="00FA4116" w:rsidRDefault="00FA4116" w:rsidP="000C2875">
            <w:pPr>
              <w:ind w:left="1440" w:right="1440"/>
              <w:jc w:val="both"/>
              <w:rPr>
                <w:color w:val="000000"/>
                <w:lang w:val="en"/>
              </w:rPr>
            </w:pPr>
          </w:p>
          <w:p w14:paraId="51697EBE" w14:textId="0754BC6F" w:rsidR="005872C6" w:rsidRDefault="00D62F54" w:rsidP="000C2875">
            <w:pPr>
              <w:ind w:left="1440" w:right="1440"/>
              <w:jc w:val="both"/>
              <w:rPr>
                <w:color w:val="000000"/>
                <w:lang w:val="en"/>
              </w:rPr>
            </w:pPr>
            <w:r w:rsidRPr="00D62F54">
              <w:rPr>
                <w:color w:val="000000"/>
                <w:lang w:val="en"/>
              </w:rPr>
              <w:t xml:space="preserve">ETH Zurich researchers have developed an extraordinary protection </w:t>
            </w:r>
            <w:r w:rsidR="00586CC4">
              <w:rPr>
                <w:color w:val="000000"/>
                <w:lang w:val="en"/>
              </w:rPr>
              <w:t xml:space="preserve">coating </w:t>
            </w:r>
            <w:r w:rsidRPr="00D62F54">
              <w:rPr>
                <w:color w:val="000000"/>
                <w:lang w:val="en"/>
              </w:rPr>
              <w:t>against corrosion after a chance discovery. It glows in places where it is not damaged, repairs itself – and can be reused multiple times.</w:t>
            </w:r>
            <w:r w:rsidR="005872C6">
              <w:rPr>
                <w:color w:val="000000"/>
                <w:lang w:val="en"/>
              </w:rPr>
              <w:t xml:space="preserve"> More on this ex</w:t>
            </w:r>
            <w:r w:rsidR="00586CC4">
              <w:rPr>
                <w:color w:val="000000"/>
                <w:lang w:val="en"/>
              </w:rPr>
              <w:t>c</w:t>
            </w:r>
            <w:r w:rsidR="005872C6">
              <w:rPr>
                <w:color w:val="000000"/>
                <w:lang w:val="en"/>
              </w:rPr>
              <w:t>iting research news can be found at:</w:t>
            </w:r>
          </w:p>
          <w:p w14:paraId="352D0825" w14:textId="6C5E7E24" w:rsidR="00C012B5" w:rsidRDefault="005872C6" w:rsidP="000C2875">
            <w:pPr>
              <w:ind w:left="1440" w:right="1440"/>
              <w:jc w:val="both"/>
              <w:rPr>
                <w:color w:val="000000"/>
                <w:lang w:val="en"/>
              </w:rPr>
            </w:pPr>
            <w:hyperlink r:id="rId9" w:history="1">
              <w:r w:rsidRPr="003C6B80">
                <w:rPr>
                  <w:rStyle w:val="Hyperlink"/>
                  <w:lang w:val="en"/>
                </w:rPr>
                <w:t>https://ethz.ch/en/news-and-events/eth-news/news/2023/02/new-corrosion-protection-that-repairs-itself.html</w:t>
              </w:r>
            </w:hyperlink>
            <w:r w:rsidR="00E96B4D">
              <w:rPr>
                <w:color w:val="000000"/>
                <w:lang w:val="en"/>
              </w:rPr>
              <w:t>.</w:t>
            </w:r>
          </w:p>
          <w:p w14:paraId="2E953C72" w14:textId="77777777" w:rsidR="005872C6" w:rsidRDefault="005872C6" w:rsidP="000C2875">
            <w:pPr>
              <w:ind w:left="1440" w:right="1440"/>
              <w:jc w:val="both"/>
              <w:rPr>
                <w:color w:val="000000"/>
                <w:lang w:val="en"/>
              </w:rPr>
            </w:pPr>
          </w:p>
          <w:p w14:paraId="4EFC63FF" w14:textId="745CA9C3" w:rsidR="00D62F54" w:rsidRDefault="008656C1" w:rsidP="000C2875">
            <w:pPr>
              <w:ind w:left="1440" w:right="1440"/>
              <w:jc w:val="both"/>
              <w:rPr>
                <w:color w:val="000000"/>
                <w:lang w:val="en"/>
              </w:rPr>
            </w:pPr>
            <w:r>
              <w:rPr>
                <w:color w:val="000000"/>
                <w:lang w:val="en"/>
              </w:rPr>
              <w:t xml:space="preserve">Ebatco offers many mechanical tests including </w:t>
            </w:r>
            <w:proofErr w:type="spellStart"/>
            <w:r>
              <w:rPr>
                <w:color w:val="000000"/>
                <w:lang w:val="en"/>
              </w:rPr>
              <w:t>nanoscratch</w:t>
            </w:r>
            <w:proofErr w:type="spellEnd"/>
            <w:r>
              <w:rPr>
                <w:color w:val="000000"/>
                <w:lang w:val="en"/>
              </w:rPr>
              <w:t xml:space="preserve">, </w:t>
            </w:r>
            <w:proofErr w:type="spellStart"/>
            <w:r>
              <w:rPr>
                <w:color w:val="000000"/>
                <w:lang w:val="en"/>
              </w:rPr>
              <w:t>microscratch</w:t>
            </w:r>
            <w:proofErr w:type="spellEnd"/>
            <w:r>
              <w:rPr>
                <w:color w:val="000000"/>
                <w:lang w:val="en"/>
              </w:rPr>
              <w:t xml:space="preserve">, and </w:t>
            </w:r>
            <w:proofErr w:type="spellStart"/>
            <w:r>
              <w:rPr>
                <w:color w:val="000000"/>
                <w:lang w:val="en"/>
              </w:rPr>
              <w:t>macroscratch</w:t>
            </w:r>
            <w:proofErr w:type="spellEnd"/>
            <w:r>
              <w:rPr>
                <w:color w:val="000000"/>
                <w:lang w:val="en"/>
              </w:rPr>
              <w:t xml:space="preserve"> for testing coatings like this one to observe</w:t>
            </w:r>
            <w:r w:rsidR="00E96B4D">
              <w:rPr>
                <w:color w:val="000000"/>
                <w:lang w:val="en"/>
              </w:rPr>
              <w:t xml:space="preserve"> and evaluate</w:t>
            </w:r>
            <w:r>
              <w:rPr>
                <w:color w:val="000000"/>
                <w:lang w:val="en"/>
              </w:rPr>
              <w:t xml:space="preserve"> self-healing </w:t>
            </w:r>
            <w:r w:rsidR="00E96B4D">
              <w:rPr>
                <w:color w:val="000000"/>
                <w:lang w:val="en"/>
              </w:rPr>
              <w:t xml:space="preserve">and self-repair </w:t>
            </w:r>
            <w:r>
              <w:rPr>
                <w:color w:val="000000"/>
                <w:lang w:val="en"/>
              </w:rPr>
              <w:t xml:space="preserve">capabilities. </w:t>
            </w:r>
          </w:p>
          <w:p w14:paraId="1BCE8509" w14:textId="77777777" w:rsidR="00170327" w:rsidRDefault="00170327" w:rsidP="000C2875">
            <w:pPr>
              <w:ind w:left="1440" w:right="1440"/>
              <w:jc w:val="both"/>
              <w:rPr>
                <w:color w:val="000000"/>
                <w:lang w:val="en"/>
              </w:rPr>
            </w:pPr>
          </w:p>
          <w:p w14:paraId="3747552D" w14:textId="23955302"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8.6pt;height:1.8pt" o:ole="">
                  <v:imagedata r:id="rId10" o:title=""/>
                </v:shape>
                <o:OLEObject Type="Embed" ProgID="PBrush" ShapeID="_x0000_i1026" DrawAspect="Content" ObjectID="_1738762719" r:id="rId11"/>
              </w:object>
            </w:r>
          </w:p>
          <w:p w14:paraId="30C5D30B" w14:textId="183B4CA3" w:rsidR="008405F9" w:rsidRDefault="008405F9" w:rsidP="00501CF5">
            <w:pPr>
              <w:ind w:right="1462"/>
              <w:jc w:val="both"/>
            </w:pPr>
          </w:p>
          <w:p w14:paraId="4A7197D8" w14:textId="77777777" w:rsidR="00732F22" w:rsidRDefault="00732F22" w:rsidP="00732F22">
            <w:pPr>
              <w:ind w:left="1422" w:right="1462"/>
              <w:jc w:val="both"/>
            </w:pPr>
            <w:r>
              <w:t>As we continue to grow our business we have hired on new talents to expand our expertise and testing lab service offerings.  Please join us in welcoming the newest addition to the Ebatco team: Mr. Reilly Thompson.</w:t>
            </w:r>
          </w:p>
          <w:p w14:paraId="02DB1376" w14:textId="77777777" w:rsidR="00732F22" w:rsidRDefault="00732F22" w:rsidP="00732F22">
            <w:pPr>
              <w:ind w:left="1422" w:right="1462"/>
              <w:jc w:val="both"/>
            </w:pPr>
          </w:p>
          <w:p w14:paraId="29864F1D" w14:textId="77777777" w:rsidR="00732F22" w:rsidRDefault="00732F22" w:rsidP="00732F22">
            <w:pPr>
              <w:ind w:left="1422" w:right="1462"/>
              <w:jc w:val="both"/>
            </w:pPr>
            <w:r>
              <w:t>Mr. Reilly Thompson has a B.S. degree in Chemistry from Iowa State University. During his undergraduate education, he was a Research Assistant working in the area of biochemistry. His project focused on disease inoculation and soil yield analysis. Following his graduation, Reilly worked as Sales Representative for Norcraft Companies, Inc. He received rewards for Representative of the Year two times while working at the company.</w:t>
            </w:r>
          </w:p>
          <w:p w14:paraId="2095DCB0" w14:textId="77777777" w:rsidR="00732F22" w:rsidRDefault="00732F22" w:rsidP="00732F22">
            <w:pPr>
              <w:ind w:left="1422" w:right="1462"/>
              <w:jc w:val="both"/>
            </w:pPr>
          </w:p>
          <w:p w14:paraId="34B7051A" w14:textId="486B4C65" w:rsidR="009A7870" w:rsidRDefault="00732F22" w:rsidP="00732F22">
            <w:pPr>
              <w:ind w:left="1422" w:right="1462"/>
              <w:jc w:val="both"/>
            </w:pPr>
            <w:r>
              <w:t xml:space="preserve">As a </w:t>
            </w:r>
            <w:r w:rsidR="00043436">
              <w:t>Nano</w:t>
            </w:r>
            <w:r w:rsidR="002D4394">
              <w:t xml:space="preserve"> A</w:t>
            </w:r>
            <w:r w:rsidR="00043436">
              <w:t xml:space="preserve">nalytical </w:t>
            </w:r>
            <w:r w:rsidR="002D4394">
              <w:t xml:space="preserve">and Testing (NAT) </w:t>
            </w:r>
            <w:r w:rsidR="00043436">
              <w:t>Lab Technician</w:t>
            </w:r>
            <w:r>
              <w:t xml:space="preserve"> of Ebatco, Reilly is looking forward to providing the best possible support to existing and prospective customers, and strive to serve as a bridge between </w:t>
            </w:r>
            <w:proofErr w:type="spellStart"/>
            <w:r>
              <w:t>Ebatco’s</w:t>
            </w:r>
            <w:proofErr w:type="spellEnd"/>
            <w:r>
              <w:t xml:space="preserve"> analytical expertise and customer’s needs.</w:t>
            </w:r>
          </w:p>
          <w:p w14:paraId="2408023B" w14:textId="77777777" w:rsidR="00732F22" w:rsidRDefault="00732F22" w:rsidP="00732F2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053BB8B1" w:rsidR="001C123C" w:rsidRPr="00C648E9" w:rsidRDefault="00EF6178" w:rsidP="00FA7A87">
            <w:pPr>
              <w:keepNext/>
              <w:spacing w:before="240" w:line="276" w:lineRule="auto"/>
              <w:ind w:left="1422" w:right="1462"/>
              <w:jc w:val="center"/>
              <w:rPr>
                <w:b/>
                <w:sz w:val="28"/>
                <w:szCs w:val="28"/>
              </w:rPr>
            </w:pPr>
            <w:r>
              <w:rPr>
                <w:b/>
              </w:rPr>
              <w:t>Tensile Testing of Metal Foils</w:t>
            </w:r>
          </w:p>
          <w:p w14:paraId="3CC9D4BD" w14:textId="21361C70" w:rsidR="00EF6178" w:rsidRDefault="00D62F54" w:rsidP="005E5E32">
            <w:pPr>
              <w:ind w:left="1422" w:right="1462"/>
              <w:jc w:val="both"/>
            </w:pPr>
            <w:r w:rsidRPr="00D62F54">
              <w:t>Metallic foils are an important part of many products we use every day, such as moisture barriers in food and medical packaging, anti-</w:t>
            </w:r>
            <w:r w:rsidRPr="00D62F54">
              <w:lastRenderedPageBreak/>
              <w:t>static bags to protect electronics, or simply decorative shine added to a product. Thicker sheets of metals are used even more ubiquitously; in aluminum beverage cans, sheet metal furnishings and storage containers, razor blades, automotive body panels, and many more other applications. Mechanical properties are one of the reasons these metallic sheets and foils are selected for their applications. The mechanical properties of bulk metallic specimens are generally known and are relatively easy to measure. However, the bulk properties may not be readily usable for the thin sheet and foil applications because the cold-rolling process of forming a thin sheet or foil may significantly modify these mechanical properties. For example, cold-working of metals drastically changes metals’ grain structures and adds high concentrations of defects. Subsequent annealing, joining, welding, or bending would also modify the properties of metals even further. Since the mechanical properties of a metallic sheet or a foil are going to be significantly different from its bulk format, it is necessary to measure the mechanical properties of the sheet or the foil after all of the processing has been completed.</w:t>
            </w:r>
          </w:p>
          <w:p w14:paraId="7F981926" w14:textId="77777777" w:rsidR="00EF6178" w:rsidRDefault="00EF6178" w:rsidP="005E5E32">
            <w:pPr>
              <w:ind w:left="1422" w:right="1462"/>
              <w:jc w:val="both"/>
            </w:pPr>
          </w:p>
          <w:p w14:paraId="73C3B54E" w14:textId="77777777" w:rsidR="00EF6178" w:rsidRDefault="00EF6178" w:rsidP="00EF6178">
            <w:pPr>
              <w:ind w:right="1462"/>
            </w:pPr>
          </w:p>
          <w:p w14:paraId="027F6A42" w14:textId="670EB1AD" w:rsidR="00EF6178" w:rsidRDefault="00EF6178" w:rsidP="00EF6178">
            <w:pPr>
              <w:ind w:left="1422" w:right="1462"/>
              <w:jc w:val="center"/>
            </w:pPr>
            <w:r>
              <w:rPr>
                <w:noProof/>
              </w:rPr>
              <w:drawing>
                <wp:inline distT="0" distB="0" distL="0" distR="0" wp14:anchorId="10370558" wp14:editId="06436DA5">
                  <wp:extent cx="3767455" cy="26949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7455" cy="2694940"/>
                          </a:xfrm>
                          <a:prstGeom prst="rect">
                            <a:avLst/>
                          </a:prstGeom>
                          <a:noFill/>
                        </pic:spPr>
                      </pic:pic>
                    </a:graphicData>
                  </a:graphic>
                </wp:inline>
              </w:drawing>
            </w:r>
          </w:p>
          <w:p w14:paraId="59B4A734" w14:textId="7266A682" w:rsidR="00EF6178" w:rsidRDefault="00EF6178" w:rsidP="00EF6178">
            <w:pPr>
              <w:ind w:left="1422" w:right="1462"/>
              <w:jc w:val="center"/>
            </w:pPr>
            <w:r w:rsidRPr="00EF6178">
              <w:t>Figure 1. Typical stress-strain curve for an aluminum foil</w:t>
            </w:r>
            <w:r>
              <w:t>.</w:t>
            </w:r>
          </w:p>
          <w:p w14:paraId="14ABA4AF" w14:textId="77777777" w:rsidR="005E5E32" w:rsidRDefault="005E5E32" w:rsidP="005E5E32">
            <w:pPr>
              <w:ind w:left="1422" w:right="1462"/>
              <w:jc w:val="both"/>
            </w:pPr>
          </w:p>
          <w:p w14:paraId="17D97DC2" w14:textId="40412E6F" w:rsidR="005E5E32" w:rsidRDefault="00D62F54" w:rsidP="005E5E32">
            <w:pPr>
              <w:ind w:left="1422" w:right="1462"/>
              <w:jc w:val="both"/>
            </w:pPr>
            <w:r w:rsidRPr="00D62F54">
              <w:t xml:space="preserve">Tensile testing of metallic foils or sheets characterizes several useful and practical mechanical properties: the elastic modulus, yield strength, ultimate tensile strength (UTS) and ductility of a material. In this application note, the mechanical properties of three metallic foils were measured using tensile testing on a Shimadzu AGX-V Universal Testing Machine (UTM). The AGX-V UTM can apply forces from 0.1 N to 10,000 N at speeds from 0.5 </w:t>
            </w:r>
            <w:proofErr w:type="spellStart"/>
            <w:r w:rsidRPr="00D62F54">
              <w:t>μm</w:t>
            </w:r>
            <w:proofErr w:type="spellEnd"/>
            <w:r w:rsidRPr="00D62F54">
              <w:t xml:space="preserve">/min to 3,000 mm/min, making it well-suited for testing composites, biomaterials, textiles, polymers, and thin metallic or ceramic materials. It fills a niche between microscale testing in DMA and macroscale tensile testers suited for bulk materials. Instead of being constrained by traditional clip-mounted </w:t>
            </w:r>
            <w:proofErr w:type="spellStart"/>
            <w:r w:rsidRPr="00D62F54">
              <w:t>extensiometers</w:t>
            </w:r>
            <w:proofErr w:type="spellEnd"/>
            <w:r w:rsidRPr="00D62F54">
              <w:t xml:space="preserve"> which are too heavy for thin foils to support, a duo </w:t>
            </w:r>
            <w:proofErr w:type="spellStart"/>
            <w:r w:rsidRPr="00D62F54">
              <w:t>TRView</w:t>
            </w:r>
            <w:proofErr w:type="spellEnd"/>
            <w:r w:rsidRPr="00D62F54">
              <w:t xml:space="preserve"> optical </w:t>
            </w:r>
            <w:proofErr w:type="spellStart"/>
            <w:r w:rsidRPr="00D62F54">
              <w:t>extensiometer</w:t>
            </w:r>
            <w:proofErr w:type="spellEnd"/>
            <w:r w:rsidRPr="00D62F54">
              <w:t xml:space="preserve"> cameras use image analysis to measure the displacement between gauge marks drawn or adhered to the sample. This setup also permits the simultaneous measurement of Poisson’s ratio by measuring the reduction of the sample width during tensile testing.</w:t>
            </w:r>
          </w:p>
          <w:p w14:paraId="0DBA2717" w14:textId="77777777" w:rsidR="005E5E32" w:rsidRDefault="005E5E32" w:rsidP="005E5E32">
            <w:pPr>
              <w:ind w:left="1422" w:right="1462"/>
              <w:jc w:val="both"/>
            </w:pPr>
          </w:p>
          <w:p w14:paraId="3935A978" w14:textId="54CC7214" w:rsidR="00EF6178" w:rsidRDefault="00D62F54" w:rsidP="005E5E32">
            <w:pPr>
              <w:ind w:left="1422" w:right="1462"/>
              <w:jc w:val="both"/>
            </w:pPr>
            <w:r w:rsidRPr="00D62F54">
              <w:t xml:space="preserve">The three metal foils were selected and tested in accordance with ASTM E345. They are stainless steel, aluminum, and copper foils and were cut into 12.5 mm x 230 mm strips. Each sample had a 170 mm inter-grip distance and two gauge marks were placed on the sample to recognize a gauge length of 125 mm. Five samples of each foil material were tested. The sample width and thickness were measured to 1 µm accuracy using a micrometer. A strain rate of 0.8%/min was chosen such that the stress application rate was kept below 12 MPa/sec. </w:t>
            </w:r>
            <w:r w:rsidR="00EF6178" w:rsidRPr="00EF6178">
              <w:t xml:space="preserve"> </w:t>
            </w:r>
          </w:p>
          <w:p w14:paraId="27CFF1C4" w14:textId="77777777" w:rsidR="00EF6178" w:rsidRDefault="00EF6178" w:rsidP="005E5E32">
            <w:pPr>
              <w:ind w:left="1422" w:right="1462"/>
              <w:jc w:val="both"/>
            </w:pPr>
          </w:p>
          <w:p w14:paraId="397A45E4" w14:textId="6A331340" w:rsidR="005E5E32" w:rsidRDefault="00D62F54" w:rsidP="005E5E32">
            <w:pPr>
              <w:ind w:left="1422" w:right="1462"/>
              <w:jc w:val="both"/>
            </w:pPr>
            <w:r w:rsidRPr="00D62F54">
              <w:rPr>
                <w:shd w:val="clear" w:color="auto" w:fill="FFFFFF"/>
              </w:rPr>
              <w:t xml:space="preserve">Figure 2 shows typical stress-strain curves of the stainless steel, aluminum, and copper foil specimens. The tensile elastic modulus, E, </w:t>
            </w:r>
            <w:r w:rsidRPr="00D62F54">
              <w:rPr>
                <w:shd w:val="clear" w:color="auto" w:fill="FFFFFF"/>
              </w:rPr>
              <w:lastRenderedPageBreak/>
              <w:t xml:space="preserve">is measured from the slope of the linear portion of the stress-strain curve. Table 1 lists the average elastic modulus, yield stress, UTS, and extension at failure for the three specimen types. The copper foil clearly has the largest extension at failure, which is consistent with its superior ductility. While stainless steel has the largest UTS, its ductility is relatively poor and fractures almost immediately after the yield point. </w:t>
            </w:r>
            <w:r w:rsidR="00EF6178">
              <w:rPr>
                <w:shd w:val="clear" w:color="auto" w:fill="FFFFFF"/>
              </w:rPr>
              <w:t xml:space="preserve"> </w:t>
            </w:r>
            <w:r w:rsidR="005E5E32">
              <w:t xml:space="preserve"> </w:t>
            </w:r>
          </w:p>
          <w:p w14:paraId="22D81FEF" w14:textId="77777777" w:rsidR="005E5E32" w:rsidRDefault="005E5E32" w:rsidP="005E5E32">
            <w:pPr>
              <w:jc w:val="both"/>
            </w:pPr>
          </w:p>
          <w:p w14:paraId="584DE113" w14:textId="77777777" w:rsidR="005E5E32" w:rsidRDefault="005E5E32" w:rsidP="005E5E32">
            <w:pPr>
              <w:jc w:val="both"/>
            </w:pPr>
          </w:p>
          <w:p w14:paraId="3EC07A28" w14:textId="65DF8697" w:rsidR="005E5E32" w:rsidRDefault="005E5E32" w:rsidP="005E5E32">
            <w:pPr>
              <w:jc w:val="center"/>
            </w:pPr>
            <w:r>
              <w:t xml:space="preserve"> </w:t>
            </w:r>
            <w:r w:rsidR="00EF6178">
              <w:rPr>
                <w:noProof/>
              </w:rPr>
              <w:t xml:space="preserve"> </w:t>
            </w:r>
            <w:r w:rsidR="00EF6178">
              <w:rPr>
                <w:noProof/>
              </w:rPr>
              <w:drawing>
                <wp:inline distT="0" distB="0" distL="0" distR="0" wp14:anchorId="0F885ACB" wp14:editId="7D0FE560">
                  <wp:extent cx="3590925" cy="282702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4" cstate="print">
                            <a:extLst>
                              <a:ext uri="{28A0092B-C50C-407E-A947-70E740481C1C}">
                                <a14:useLocalDpi xmlns:a14="http://schemas.microsoft.com/office/drawing/2010/main" val="0"/>
                              </a:ext>
                            </a:extLst>
                          </a:blip>
                          <a:srcRect l="5729" t="8390" r="10243" b="5216"/>
                          <a:stretch/>
                        </pic:blipFill>
                        <pic:spPr bwMode="auto">
                          <a:xfrm>
                            <a:off x="0" y="0"/>
                            <a:ext cx="3590925" cy="2827020"/>
                          </a:xfrm>
                          <a:prstGeom prst="rect">
                            <a:avLst/>
                          </a:prstGeom>
                          <a:noFill/>
                          <a:ln>
                            <a:noFill/>
                          </a:ln>
                          <a:extLst>
                            <a:ext uri="{53640926-AAD7-44D8-BBD7-CCE9431645EC}">
                              <a14:shadowObscured xmlns:a14="http://schemas.microsoft.com/office/drawing/2010/main"/>
                            </a:ext>
                          </a:extLst>
                        </pic:spPr>
                      </pic:pic>
                    </a:graphicData>
                  </a:graphic>
                </wp:inline>
              </w:drawing>
            </w:r>
          </w:p>
          <w:p w14:paraId="791B2BB7" w14:textId="3549DE51" w:rsidR="005E5E32" w:rsidRDefault="00EF6178" w:rsidP="005E5E32">
            <w:pPr>
              <w:jc w:val="center"/>
            </w:pPr>
            <w:r>
              <w:t>Figure 2. Typical stress-strain curves of stainless steel, aluminum, and copper foils.</w:t>
            </w:r>
          </w:p>
          <w:p w14:paraId="22690DDC" w14:textId="77777777" w:rsidR="005E5E32" w:rsidRDefault="005E5E32" w:rsidP="005E5E32">
            <w:pPr>
              <w:jc w:val="center"/>
            </w:pPr>
          </w:p>
          <w:p w14:paraId="00240C5F" w14:textId="77777777" w:rsidR="00EF6178" w:rsidRDefault="00EF6178" w:rsidP="00EF6178">
            <w:pPr>
              <w:jc w:val="center"/>
            </w:pPr>
            <w:r>
              <w:t>Table 1 Tensile Mechanical Property Measurement Results for Metallic Foils</w:t>
            </w:r>
          </w:p>
          <w:tbl>
            <w:tblPr>
              <w:tblStyle w:val="TableGrid"/>
              <w:tblW w:w="9408" w:type="dxa"/>
              <w:jc w:val="center"/>
              <w:tblLook w:val="04A0" w:firstRow="1" w:lastRow="0" w:firstColumn="1" w:lastColumn="0" w:noHBand="0" w:noVBand="1"/>
            </w:tblPr>
            <w:tblGrid>
              <w:gridCol w:w="2037"/>
              <w:gridCol w:w="1868"/>
              <w:gridCol w:w="1817"/>
              <w:gridCol w:w="1814"/>
              <w:gridCol w:w="1872"/>
            </w:tblGrid>
            <w:tr w:rsidR="00EF6178" w14:paraId="3FC99175" w14:textId="77777777" w:rsidTr="00EF6178">
              <w:trPr>
                <w:trHeight w:val="300"/>
                <w:jc w:val="center"/>
              </w:trPr>
              <w:tc>
                <w:tcPr>
                  <w:tcW w:w="2037" w:type="dxa"/>
                  <w:tcBorders>
                    <w:top w:val="single" w:sz="4" w:space="0" w:color="auto"/>
                    <w:left w:val="single" w:sz="4" w:space="0" w:color="auto"/>
                    <w:bottom w:val="single" w:sz="4" w:space="0" w:color="auto"/>
                    <w:right w:val="single" w:sz="4" w:space="0" w:color="auto"/>
                  </w:tcBorders>
                  <w:noWrap/>
                  <w:vAlign w:val="center"/>
                  <w:hideMark/>
                </w:tcPr>
                <w:p w14:paraId="01FB3A62"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Specimen Material</w:t>
                  </w:r>
                </w:p>
              </w:tc>
              <w:tc>
                <w:tcPr>
                  <w:tcW w:w="1868" w:type="dxa"/>
                  <w:tcBorders>
                    <w:top w:val="single" w:sz="4" w:space="0" w:color="auto"/>
                    <w:left w:val="single" w:sz="4" w:space="0" w:color="auto"/>
                    <w:bottom w:val="single" w:sz="4" w:space="0" w:color="auto"/>
                    <w:right w:val="single" w:sz="4" w:space="0" w:color="auto"/>
                  </w:tcBorders>
                  <w:noWrap/>
                  <w:vAlign w:val="center"/>
                  <w:hideMark/>
                </w:tcPr>
                <w:p w14:paraId="1DFB78FA"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Elastic Modulus </w:t>
                  </w:r>
                </w:p>
                <w:p w14:paraId="535CD996"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w:t>
                  </w:r>
                  <w:proofErr w:type="spellStart"/>
                  <w:r w:rsidRPr="00EF6178">
                    <w:rPr>
                      <w:rFonts w:ascii="Times New Roman" w:hAnsi="Times New Roman"/>
                    </w:rPr>
                    <w:t>GPa</w:t>
                  </w:r>
                  <w:proofErr w:type="spellEnd"/>
                  <w:r w:rsidRPr="00EF6178">
                    <w:rPr>
                      <w:rFonts w:ascii="Times New Roman" w:hAnsi="Times New Roman"/>
                    </w:rPr>
                    <w:t>)</w:t>
                  </w:r>
                </w:p>
              </w:tc>
              <w:tc>
                <w:tcPr>
                  <w:tcW w:w="1817" w:type="dxa"/>
                  <w:tcBorders>
                    <w:top w:val="single" w:sz="4" w:space="0" w:color="auto"/>
                    <w:left w:val="single" w:sz="4" w:space="0" w:color="auto"/>
                    <w:bottom w:val="single" w:sz="4" w:space="0" w:color="auto"/>
                    <w:right w:val="single" w:sz="4" w:space="0" w:color="auto"/>
                  </w:tcBorders>
                  <w:noWrap/>
                  <w:vAlign w:val="center"/>
                  <w:hideMark/>
                </w:tcPr>
                <w:p w14:paraId="2C143416"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Yield Stress </w:t>
                  </w:r>
                </w:p>
                <w:p w14:paraId="1E1EF108"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(MPa)</w:t>
                  </w:r>
                </w:p>
              </w:tc>
              <w:tc>
                <w:tcPr>
                  <w:tcW w:w="1814" w:type="dxa"/>
                  <w:tcBorders>
                    <w:top w:val="single" w:sz="4" w:space="0" w:color="auto"/>
                    <w:left w:val="single" w:sz="4" w:space="0" w:color="auto"/>
                    <w:bottom w:val="single" w:sz="4" w:space="0" w:color="auto"/>
                    <w:right w:val="single" w:sz="4" w:space="0" w:color="auto"/>
                  </w:tcBorders>
                  <w:noWrap/>
                  <w:vAlign w:val="center"/>
                  <w:hideMark/>
                </w:tcPr>
                <w:p w14:paraId="24118CDC"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UTS </w:t>
                  </w:r>
                </w:p>
                <w:p w14:paraId="50559C4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(MPa)</w:t>
                  </w:r>
                </w:p>
              </w:tc>
              <w:tc>
                <w:tcPr>
                  <w:tcW w:w="1872" w:type="dxa"/>
                  <w:tcBorders>
                    <w:top w:val="single" w:sz="4" w:space="0" w:color="auto"/>
                    <w:left w:val="single" w:sz="4" w:space="0" w:color="auto"/>
                    <w:bottom w:val="single" w:sz="4" w:space="0" w:color="auto"/>
                    <w:right w:val="single" w:sz="4" w:space="0" w:color="auto"/>
                  </w:tcBorders>
                  <w:noWrap/>
                  <w:vAlign w:val="center"/>
                  <w:hideMark/>
                </w:tcPr>
                <w:p w14:paraId="7F5A21A4"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Max. Elongation (%)</w:t>
                  </w:r>
                </w:p>
              </w:tc>
            </w:tr>
            <w:tr w:rsidR="00EF6178" w14:paraId="17C76D2B" w14:textId="77777777" w:rsidTr="00EF6178">
              <w:trPr>
                <w:trHeight w:val="300"/>
                <w:jc w:val="center"/>
              </w:trPr>
              <w:tc>
                <w:tcPr>
                  <w:tcW w:w="2037" w:type="dxa"/>
                  <w:tcBorders>
                    <w:top w:val="single" w:sz="4" w:space="0" w:color="auto"/>
                    <w:left w:val="single" w:sz="4" w:space="0" w:color="auto"/>
                    <w:bottom w:val="single" w:sz="4" w:space="0" w:color="auto"/>
                    <w:right w:val="single" w:sz="4" w:space="0" w:color="auto"/>
                  </w:tcBorders>
                  <w:noWrap/>
                  <w:vAlign w:val="center"/>
                  <w:hideMark/>
                </w:tcPr>
                <w:p w14:paraId="32DDF92A"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302 Stainless Steel</w:t>
                  </w:r>
                </w:p>
              </w:tc>
              <w:tc>
                <w:tcPr>
                  <w:tcW w:w="1868" w:type="dxa"/>
                  <w:tcBorders>
                    <w:top w:val="single" w:sz="4" w:space="0" w:color="auto"/>
                    <w:left w:val="single" w:sz="4" w:space="0" w:color="auto"/>
                    <w:bottom w:val="single" w:sz="4" w:space="0" w:color="auto"/>
                    <w:right w:val="single" w:sz="4" w:space="0" w:color="auto"/>
                  </w:tcBorders>
                  <w:noWrap/>
                  <w:hideMark/>
                </w:tcPr>
                <w:p w14:paraId="08AC9AE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178.81 ± 15.35</w:t>
                  </w:r>
                </w:p>
              </w:tc>
              <w:tc>
                <w:tcPr>
                  <w:tcW w:w="1817" w:type="dxa"/>
                  <w:tcBorders>
                    <w:top w:val="single" w:sz="4" w:space="0" w:color="auto"/>
                    <w:left w:val="single" w:sz="4" w:space="0" w:color="auto"/>
                    <w:bottom w:val="single" w:sz="4" w:space="0" w:color="auto"/>
                    <w:right w:val="single" w:sz="4" w:space="0" w:color="auto"/>
                  </w:tcBorders>
                  <w:noWrap/>
                  <w:hideMark/>
                </w:tcPr>
                <w:p w14:paraId="60C02154"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1446.04 ± 22.83</w:t>
                  </w:r>
                </w:p>
              </w:tc>
              <w:tc>
                <w:tcPr>
                  <w:tcW w:w="1814" w:type="dxa"/>
                  <w:tcBorders>
                    <w:top w:val="single" w:sz="4" w:space="0" w:color="auto"/>
                    <w:left w:val="single" w:sz="4" w:space="0" w:color="auto"/>
                    <w:bottom w:val="single" w:sz="4" w:space="0" w:color="auto"/>
                    <w:right w:val="single" w:sz="4" w:space="0" w:color="auto"/>
                  </w:tcBorders>
                  <w:noWrap/>
                  <w:hideMark/>
                </w:tcPr>
                <w:p w14:paraId="45CB8C4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1550.86 ± 35.62</w:t>
                  </w:r>
                </w:p>
              </w:tc>
              <w:tc>
                <w:tcPr>
                  <w:tcW w:w="1872" w:type="dxa"/>
                  <w:tcBorders>
                    <w:top w:val="single" w:sz="4" w:space="0" w:color="auto"/>
                    <w:left w:val="single" w:sz="4" w:space="0" w:color="auto"/>
                    <w:bottom w:val="single" w:sz="4" w:space="0" w:color="auto"/>
                    <w:right w:val="single" w:sz="4" w:space="0" w:color="auto"/>
                  </w:tcBorders>
                  <w:noWrap/>
                  <w:hideMark/>
                </w:tcPr>
                <w:p w14:paraId="2CD23852"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1.28 ± .17</w:t>
                  </w:r>
                </w:p>
              </w:tc>
            </w:tr>
            <w:tr w:rsidR="00EF6178" w14:paraId="4EC10D28" w14:textId="77777777" w:rsidTr="00EF6178">
              <w:trPr>
                <w:trHeight w:val="300"/>
                <w:jc w:val="center"/>
              </w:trPr>
              <w:tc>
                <w:tcPr>
                  <w:tcW w:w="2037" w:type="dxa"/>
                  <w:tcBorders>
                    <w:top w:val="single" w:sz="4" w:space="0" w:color="auto"/>
                    <w:left w:val="single" w:sz="4" w:space="0" w:color="auto"/>
                    <w:bottom w:val="single" w:sz="4" w:space="0" w:color="auto"/>
                    <w:right w:val="single" w:sz="4" w:space="0" w:color="auto"/>
                  </w:tcBorders>
                  <w:noWrap/>
                  <w:vAlign w:val="center"/>
                  <w:hideMark/>
                </w:tcPr>
                <w:p w14:paraId="58B3DA1E"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Aluminum</w:t>
                  </w:r>
                </w:p>
              </w:tc>
              <w:tc>
                <w:tcPr>
                  <w:tcW w:w="1868" w:type="dxa"/>
                  <w:tcBorders>
                    <w:top w:val="single" w:sz="4" w:space="0" w:color="auto"/>
                    <w:left w:val="single" w:sz="4" w:space="0" w:color="auto"/>
                    <w:bottom w:val="single" w:sz="4" w:space="0" w:color="auto"/>
                    <w:right w:val="single" w:sz="4" w:space="0" w:color="auto"/>
                  </w:tcBorders>
                  <w:noWrap/>
                  <w:hideMark/>
                </w:tcPr>
                <w:p w14:paraId="06C3A664"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72.45 ± 7.66</w:t>
                  </w:r>
                </w:p>
              </w:tc>
              <w:tc>
                <w:tcPr>
                  <w:tcW w:w="1817" w:type="dxa"/>
                  <w:tcBorders>
                    <w:top w:val="single" w:sz="4" w:space="0" w:color="auto"/>
                    <w:left w:val="single" w:sz="4" w:space="0" w:color="auto"/>
                    <w:bottom w:val="single" w:sz="4" w:space="0" w:color="auto"/>
                    <w:right w:val="single" w:sz="4" w:space="0" w:color="auto"/>
                  </w:tcBorders>
                  <w:noWrap/>
                  <w:hideMark/>
                </w:tcPr>
                <w:p w14:paraId="1AD2F69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  251.70 ± 17.00</w:t>
                  </w:r>
                </w:p>
              </w:tc>
              <w:tc>
                <w:tcPr>
                  <w:tcW w:w="1814" w:type="dxa"/>
                  <w:tcBorders>
                    <w:top w:val="single" w:sz="4" w:space="0" w:color="auto"/>
                    <w:left w:val="single" w:sz="4" w:space="0" w:color="auto"/>
                    <w:bottom w:val="single" w:sz="4" w:space="0" w:color="auto"/>
                    <w:right w:val="single" w:sz="4" w:space="0" w:color="auto"/>
                  </w:tcBorders>
                  <w:noWrap/>
                  <w:hideMark/>
                </w:tcPr>
                <w:p w14:paraId="2A4BA5E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287.02 ± 3.34</w:t>
                  </w:r>
                </w:p>
              </w:tc>
              <w:tc>
                <w:tcPr>
                  <w:tcW w:w="1872" w:type="dxa"/>
                  <w:tcBorders>
                    <w:top w:val="single" w:sz="4" w:space="0" w:color="auto"/>
                    <w:left w:val="single" w:sz="4" w:space="0" w:color="auto"/>
                    <w:bottom w:val="single" w:sz="4" w:space="0" w:color="auto"/>
                    <w:right w:val="single" w:sz="4" w:space="0" w:color="auto"/>
                  </w:tcBorders>
                  <w:noWrap/>
                  <w:hideMark/>
                </w:tcPr>
                <w:p w14:paraId="3329341D"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  3.21 ± 1.02</w:t>
                  </w:r>
                </w:p>
              </w:tc>
            </w:tr>
            <w:tr w:rsidR="00EF6178" w14:paraId="3BC3E49F" w14:textId="77777777" w:rsidTr="00EF6178">
              <w:trPr>
                <w:trHeight w:val="300"/>
                <w:jc w:val="center"/>
              </w:trPr>
              <w:tc>
                <w:tcPr>
                  <w:tcW w:w="2037" w:type="dxa"/>
                  <w:tcBorders>
                    <w:top w:val="single" w:sz="4" w:space="0" w:color="auto"/>
                    <w:left w:val="single" w:sz="4" w:space="0" w:color="auto"/>
                    <w:bottom w:val="single" w:sz="4" w:space="0" w:color="auto"/>
                    <w:right w:val="single" w:sz="4" w:space="0" w:color="auto"/>
                  </w:tcBorders>
                  <w:noWrap/>
                  <w:vAlign w:val="center"/>
                  <w:hideMark/>
                </w:tcPr>
                <w:p w14:paraId="5F22A274"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Copper</w:t>
                  </w:r>
                </w:p>
              </w:tc>
              <w:tc>
                <w:tcPr>
                  <w:tcW w:w="1868" w:type="dxa"/>
                  <w:tcBorders>
                    <w:top w:val="single" w:sz="4" w:space="0" w:color="auto"/>
                    <w:left w:val="single" w:sz="4" w:space="0" w:color="auto"/>
                    <w:bottom w:val="single" w:sz="4" w:space="0" w:color="auto"/>
                    <w:right w:val="single" w:sz="4" w:space="0" w:color="auto"/>
                  </w:tcBorders>
                  <w:noWrap/>
                  <w:hideMark/>
                </w:tcPr>
                <w:p w14:paraId="4EBF1DB2"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122.79 ± 31.08</w:t>
                  </w:r>
                </w:p>
              </w:tc>
              <w:tc>
                <w:tcPr>
                  <w:tcW w:w="1817" w:type="dxa"/>
                  <w:tcBorders>
                    <w:top w:val="single" w:sz="4" w:space="0" w:color="auto"/>
                    <w:left w:val="single" w:sz="4" w:space="0" w:color="auto"/>
                    <w:bottom w:val="single" w:sz="4" w:space="0" w:color="auto"/>
                    <w:right w:val="single" w:sz="4" w:space="0" w:color="auto"/>
                  </w:tcBorders>
                  <w:noWrap/>
                  <w:hideMark/>
                </w:tcPr>
                <w:p w14:paraId="14E3228A"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  78.16 ± 9.72</w:t>
                  </w:r>
                </w:p>
              </w:tc>
              <w:tc>
                <w:tcPr>
                  <w:tcW w:w="1814" w:type="dxa"/>
                  <w:tcBorders>
                    <w:top w:val="single" w:sz="4" w:space="0" w:color="auto"/>
                    <w:left w:val="single" w:sz="4" w:space="0" w:color="auto"/>
                    <w:bottom w:val="single" w:sz="4" w:space="0" w:color="auto"/>
                    <w:right w:val="single" w:sz="4" w:space="0" w:color="auto"/>
                  </w:tcBorders>
                  <w:noWrap/>
                  <w:hideMark/>
                </w:tcPr>
                <w:p w14:paraId="68B0B8AF"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 xml:space="preserve">  197.23 ± 20.19</w:t>
                  </w:r>
                </w:p>
              </w:tc>
              <w:tc>
                <w:tcPr>
                  <w:tcW w:w="1872" w:type="dxa"/>
                  <w:tcBorders>
                    <w:top w:val="single" w:sz="4" w:space="0" w:color="auto"/>
                    <w:left w:val="single" w:sz="4" w:space="0" w:color="auto"/>
                    <w:bottom w:val="single" w:sz="4" w:space="0" w:color="auto"/>
                    <w:right w:val="single" w:sz="4" w:space="0" w:color="auto"/>
                  </w:tcBorders>
                  <w:noWrap/>
                  <w:hideMark/>
                </w:tcPr>
                <w:p w14:paraId="5EAA0663" w14:textId="77777777" w:rsidR="00EF6178" w:rsidRPr="00EF6178" w:rsidRDefault="00EF6178" w:rsidP="00E27917">
                  <w:pPr>
                    <w:framePr w:hSpace="180" w:wrap="around" w:vAnchor="text" w:hAnchor="text" w:xAlign="center" w:y="1"/>
                    <w:suppressOverlap/>
                    <w:jc w:val="center"/>
                    <w:rPr>
                      <w:rFonts w:ascii="Times New Roman" w:hAnsi="Times New Roman"/>
                      <w:lang w:eastAsia="zh-CN"/>
                    </w:rPr>
                  </w:pPr>
                  <w:r w:rsidRPr="00EF6178">
                    <w:rPr>
                      <w:rFonts w:ascii="Times New Roman" w:hAnsi="Times New Roman"/>
                    </w:rPr>
                    <w:t>14.06 ± 3.63</w:t>
                  </w:r>
                </w:p>
              </w:tc>
            </w:tr>
          </w:tbl>
          <w:p w14:paraId="2A3E3B54" w14:textId="77777777" w:rsidR="005E5E32" w:rsidRDefault="005E5E32" w:rsidP="005E5E32">
            <w:pPr>
              <w:jc w:val="both"/>
              <w:rPr>
                <w:lang w:eastAsia="zh-CN"/>
              </w:rPr>
            </w:pPr>
          </w:p>
          <w:p w14:paraId="65B39E1E" w14:textId="4150D59A" w:rsidR="00443035" w:rsidRDefault="00D62F54" w:rsidP="00EF6178">
            <w:pPr>
              <w:ind w:left="1422" w:right="1462"/>
              <w:jc w:val="both"/>
            </w:pPr>
            <w:r w:rsidRPr="00D62F54">
              <w:t>Tensile testing of metallic foils is essential to determining the mechanical properties of the materials in thin sheet or foil formats after all processing steps have been completed. The results can be used to aid in product design with accurate property information, and to determine the effectiveness of heat treatments, variations between lots of the same material, and to help in process optimization. Non-contact camera-based extensometer is proven to be helpful in tensile testing of thin sheet and foil specimens that could not support clip-on extensometers.</w:t>
            </w:r>
          </w:p>
          <w:p w14:paraId="551F3981" w14:textId="77777777" w:rsidR="000279E9" w:rsidRPr="00EF6178" w:rsidRDefault="000279E9" w:rsidP="00EF6178">
            <w:pPr>
              <w:ind w:left="1422" w:right="1462"/>
              <w:jc w:val="both"/>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7"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8" w:history="1">
              <w:r w:rsidRPr="00B97A2B">
                <w:rPr>
                  <w:rStyle w:val="Hyperlink"/>
                  <w:rFonts w:ascii="Arial" w:hAnsi="Arial" w:cs="Arial"/>
                  <w:sz w:val="20"/>
                  <w:szCs w:val="20"/>
                </w:rPr>
                <w:t>www.ebatco.com</w:t>
              </w:r>
            </w:hyperlink>
          </w:p>
        </w:tc>
      </w:tr>
      <w:tr w:rsidR="00D30A84" w14:paraId="19E7157F" w14:textId="77777777" w:rsidTr="005872C6">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122076">
    <w:abstractNumId w:val="1"/>
  </w:num>
  <w:num w:numId="2" w16cid:durableId="782455598">
    <w:abstractNumId w:val="7"/>
  </w:num>
  <w:num w:numId="3" w16cid:durableId="1315645184">
    <w:abstractNumId w:val="9"/>
  </w:num>
  <w:num w:numId="4" w16cid:durableId="898830744">
    <w:abstractNumId w:val="4"/>
  </w:num>
  <w:num w:numId="5" w16cid:durableId="1421675909">
    <w:abstractNumId w:val="6"/>
  </w:num>
  <w:num w:numId="6" w16cid:durableId="1697729935">
    <w:abstractNumId w:val="8"/>
  </w:num>
  <w:num w:numId="7" w16cid:durableId="598414602">
    <w:abstractNumId w:val="10"/>
  </w:num>
  <w:num w:numId="8" w16cid:durableId="1904950834">
    <w:abstractNumId w:val="3"/>
  </w:num>
  <w:num w:numId="9" w16cid:durableId="464474629">
    <w:abstractNumId w:val="2"/>
  </w:num>
  <w:num w:numId="10" w16cid:durableId="25449895">
    <w:abstractNumId w:val="0"/>
  </w:num>
  <w:num w:numId="11" w16cid:durableId="1566493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9E9"/>
    <w:rsid w:val="00027D03"/>
    <w:rsid w:val="00031850"/>
    <w:rsid w:val="00032D9D"/>
    <w:rsid w:val="00033CBE"/>
    <w:rsid w:val="00033CE3"/>
    <w:rsid w:val="00033F8B"/>
    <w:rsid w:val="00035548"/>
    <w:rsid w:val="00035F52"/>
    <w:rsid w:val="00036C0D"/>
    <w:rsid w:val="000411F7"/>
    <w:rsid w:val="000412C0"/>
    <w:rsid w:val="00041A0A"/>
    <w:rsid w:val="00043436"/>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23AD"/>
    <w:rsid w:val="000636D9"/>
    <w:rsid w:val="000656A8"/>
    <w:rsid w:val="00065F95"/>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33"/>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55AA"/>
    <w:rsid w:val="000A72D1"/>
    <w:rsid w:val="000A7F9C"/>
    <w:rsid w:val="000B154E"/>
    <w:rsid w:val="000B2AF4"/>
    <w:rsid w:val="000B3B03"/>
    <w:rsid w:val="000B3BC8"/>
    <w:rsid w:val="000B4D5C"/>
    <w:rsid w:val="000B6E24"/>
    <w:rsid w:val="000B772A"/>
    <w:rsid w:val="000B78A7"/>
    <w:rsid w:val="000C10D2"/>
    <w:rsid w:val="000C227E"/>
    <w:rsid w:val="000C2875"/>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4CF"/>
    <w:rsid w:val="000E26F0"/>
    <w:rsid w:val="000E30EB"/>
    <w:rsid w:val="000E31F3"/>
    <w:rsid w:val="000E5F06"/>
    <w:rsid w:val="000E6990"/>
    <w:rsid w:val="000F0748"/>
    <w:rsid w:val="000F17C2"/>
    <w:rsid w:val="000F2FA2"/>
    <w:rsid w:val="000F34AD"/>
    <w:rsid w:val="000F3793"/>
    <w:rsid w:val="000F4A09"/>
    <w:rsid w:val="000F54E5"/>
    <w:rsid w:val="000F587B"/>
    <w:rsid w:val="000F5C2A"/>
    <w:rsid w:val="000F783A"/>
    <w:rsid w:val="000F7CE2"/>
    <w:rsid w:val="001008DD"/>
    <w:rsid w:val="00101072"/>
    <w:rsid w:val="0010129A"/>
    <w:rsid w:val="00101652"/>
    <w:rsid w:val="00101689"/>
    <w:rsid w:val="00101B50"/>
    <w:rsid w:val="00101CC9"/>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1CD6"/>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4EF3"/>
    <w:rsid w:val="00165C0F"/>
    <w:rsid w:val="001675AE"/>
    <w:rsid w:val="00170327"/>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3762"/>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17A56"/>
    <w:rsid w:val="00220AF9"/>
    <w:rsid w:val="0022107D"/>
    <w:rsid w:val="002232A9"/>
    <w:rsid w:val="00223A12"/>
    <w:rsid w:val="002246F1"/>
    <w:rsid w:val="002272F9"/>
    <w:rsid w:val="00227932"/>
    <w:rsid w:val="0023070A"/>
    <w:rsid w:val="00231583"/>
    <w:rsid w:val="00231966"/>
    <w:rsid w:val="002335E7"/>
    <w:rsid w:val="00233FEB"/>
    <w:rsid w:val="002340F4"/>
    <w:rsid w:val="00234137"/>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5013"/>
    <w:rsid w:val="00266E96"/>
    <w:rsid w:val="002677F5"/>
    <w:rsid w:val="0027013D"/>
    <w:rsid w:val="002707CF"/>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07E6"/>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681"/>
    <w:rsid w:val="002D070A"/>
    <w:rsid w:val="002D2997"/>
    <w:rsid w:val="002D4394"/>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4F39"/>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0C80"/>
    <w:rsid w:val="00393050"/>
    <w:rsid w:val="0039353A"/>
    <w:rsid w:val="00393A9C"/>
    <w:rsid w:val="00393FFE"/>
    <w:rsid w:val="00394287"/>
    <w:rsid w:val="00395E3D"/>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D677B"/>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054E"/>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DD3"/>
    <w:rsid w:val="00453079"/>
    <w:rsid w:val="00453307"/>
    <w:rsid w:val="00454740"/>
    <w:rsid w:val="00457341"/>
    <w:rsid w:val="00457B38"/>
    <w:rsid w:val="00457D89"/>
    <w:rsid w:val="00457FB5"/>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60ED"/>
    <w:rsid w:val="004B76C9"/>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4F79D1"/>
    <w:rsid w:val="00501CF5"/>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1839"/>
    <w:rsid w:val="00542778"/>
    <w:rsid w:val="00542AF3"/>
    <w:rsid w:val="00542FA5"/>
    <w:rsid w:val="00546569"/>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6CC4"/>
    <w:rsid w:val="0058710D"/>
    <w:rsid w:val="005872C6"/>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4821"/>
    <w:rsid w:val="005E54DB"/>
    <w:rsid w:val="005E584A"/>
    <w:rsid w:val="005E5E32"/>
    <w:rsid w:val="005E6F7F"/>
    <w:rsid w:val="005E741D"/>
    <w:rsid w:val="005F02B2"/>
    <w:rsid w:val="005F02BB"/>
    <w:rsid w:val="005F21DC"/>
    <w:rsid w:val="005F4DA1"/>
    <w:rsid w:val="005F5018"/>
    <w:rsid w:val="005F58DA"/>
    <w:rsid w:val="005F6871"/>
    <w:rsid w:val="00600AA0"/>
    <w:rsid w:val="00602AAC"/>
    <w:rsid w:val="0060307D"/>
    <w:rsid w:val="006032B8"/>
    <w:rsid w:val="0060348A"/>
    <w:rsid w:val="0060405E"/>
    <w:rsid w:val="00605CEB"/>
    <w:rsid w:val="00605D3A"/>
    <w:rsid w:val="00606423"/>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67D8"/>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8D8"/>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F0711"/>
    <w:rsid w:val="006F0F75"/>
    <w:rsid w:val="006F16A8"/>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2F22"/>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3CCF"/>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1E36"/>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6C1"/>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0763"/>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020A"/>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129"/>
    <w:rsid w:val="00933FA0"/>
    <w:rsid w:val="00934321"/>
    <w:rsid w:val="00935378"/>
    <w:rsid w:val="009354AA"/>
    <w:rsid w:val="0093680B"/>
    <w:rsid w:val="00936E1C"/>
    <w:rsid w:val="00940CF9"/>
    <w:rsid w:val="009420BA"/>
    <w:rsid w:val="0094319D"/>
    <w:rsid w:val="00943BDF"/>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5C26"/>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089C"/>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52B"/>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93D"/>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9A0"/>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6C46"/>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2B5"/>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01DA"/>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2536"/>
    <w:rsid w:val="00C738C4"/>
    <w:rsid w:val="00C742CE"/>
    <w:rsid w:val="00C75C01"/>
    <w:rsid w:val="00C76DBB"/>
    <w:rsid w:val="00C779CD"/>
    <w:rsid w:val="00C8136C"/>
    <w:rsid w:val="00C8241A"/>
    <w:rsid w:val="00C82B32"/>
    <w:rsid w:val="00C82F73"/>
    <w:rsid w:val="00C83858"/>
    <w:rsid w:val="00C85516"/>
    <w:rsid w:val="00C85A69"/>
    <w:rsid w:val="00C860B2"/>
    <w:rsid w:val="00C860E0"/>
    <w:rsid w:val="00C86954"/>
    <w:rsid w:val="00C86E55"/>
    <w:rsid w:val="00C90607"/>
    <w:rsid w:val="00C90A9D"/>
    <w:rsid w:val="00C91C39"/>
    <w:rsid w:val="00C934B8"/>
    <w:rsid w:val="00C93D2F"/>
    <w:rsid w:val="00C95192"/>
    <w:rsid w:val="00C965F4"/>
    <w:rsid w:val="00CA0833"/>
    <w:rsid w:val="00CA0DBA"/>
    <w:rsid w:val="00CA156E"/>
    <w:rsid w:val="00CA1A99"/>
    <w:rsid w:val="00CA266B"/>
    <w:rsid w:val="00CA296F"/>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15F"/>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131D"/>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ED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2F54"/>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94C"/>
    <w:rsid w:val="00DE6FF9"/>
    <w:rsid w:val="00DE7041"/>
    <w:rsid w:val="00DF0F97"/>
    <w:rsid w:val="00DF10B8"/>
    <w:rsid w:val="00DF18A1"/>
    <w:rsid w:val="00DF1B39"/>
    <w:rsid w:val="00DF3475"/>
    <w:rsid w:val="00DF423A"/>
    <w:rsid w:val="00DF4379"/>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27917"/>
    <w:rsid w:val="00E317BD"/>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1A"/>
    <w:rsid w:val="00E6298E"/>
    <w:rsid w:val="00E63016"/>
    <w:rsid w:val="00E728F5"/>
    <w:rsid w:val="00E736E4"/>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6B4D"/>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0BFD"/>
    <w:rsid w:val="00EC13B8"/>
    <w:rsid w:val="00EC21D2"/>
    <w:rsid w:val="00EC32F0"/>
    <w:rsid w:val="00EC3BDF"/>
    <w:rsid w:val="00EC3F02"/>
    <w:rsid w:val="00EC5A2E"/>
    <w:rsid w:val="00EC6350"/>
    <w:rsid w:val="00EC7973"/>
    <w:rsid w:val="00EC7A1A"/>
    <w:rsid w:val="00ED0537"/>
    <w:rsid w:val="00ED060C"/>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67E2"/>
    <w:rsid w:val="00EE699A"/>
    <w:rsid w:val="00EE6A96"/>
    <w:rsid w:val="00EE76B7"/>
    <w:rsid w:val="00EF0819"/>
    <w:rsid w:val="00EF0A19"/>
    <w:rsid w:val="00EF2197"/>
    <w:rsid w:val="00EF3C3D"/>
    <w:rsid w:val="00EF3DB6"/>
    <w:rsid w:val="00EF43C3"/>
    <w:rsid w:val="00EF4F02"/>
    <w:rsid w:val="00EF5E48"/>
    <w:rsid w:val="00EF617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34B8"/>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1483"/>
    <w:rsid w:val="00F82E6D"/>
    <w:rsid w:val="00F8404E"/>
    <w:rsid w:val="00F8528C"/>
    <w:rsid w:val="00F866F6"/>
    <w:rsid w:val="00F9352E"/>
    <w:rsid w:val="00F945C9"/>
    <w:rsid w:val="00F9538C"/>
    <w:rsid w:val="00F96728"/>
    <w:rsid w:val="00F97251"/>
    <w:rsid w:val="00F974A2"/>
    <w:rsid w:val="00F9756B"/>
    <w:rsid w:val="00F97573"/>
    <w:rsid w:val="00FA4116"/>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3B8A6033-ABDD-4C23-82E5-7A359F48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87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735324193">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02880539">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389809">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1901331207">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aily.com/releases/2023/02/230209094127.htm" TargetMode="External"/><Relationship Id="rId13" Type="http://schemas.openxmlformats.org/officeDocument/2006/relationships/image" Target="media/image5.png"/><Relationship Id="rId18" Type="http://schemas.openxmlformats.org/officeDocument/2006/relationships/hyperlink" Target="http://www.ebatco.com"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hyperlink" Target="mailto:info@ebatco.com" TargetMode="External"/><Relationship Id="rId2" Type="http://schemas.openxmlformats.org/officeDocument/2006/relationships/styles" Target="styles.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5" Type="http://schemas.openxmlformats.org/officeDocument/2006/relationships/image" Target="media/image1.png"/><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thz.ch/en/news-and-events/eth-news/news/2023/02/new-corrosion-protection-that-repairs-itself.html"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5515</TotalTime>
  <Pages>1</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7652</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Dehua Yang</cp:lastModifiedBy>
  <cp:revision>13</cp:revision>
  <cp:lastPrinted>2011-11-29T15:28:00Z</cp:lastPrinted>
  <dcterms:created xsi:type="dcterms:W3CDTF">2023-02-20T21:05:00Z</dcterms:created>
  <dcterms:modified xsi:type="dcterms:W3CDTF">2023-02-24T22:52:00Z</dcterms:modified>
</cp:coreProperties>
</file>