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ED5EE1">
        <w:trPr>
          <w:trHeight w:val="570"/>
        </w:trPr>
        <w:tc>
          <w:tcPr>
            <w:tcW w:w="16150" w:type="dxa"/>
            <w:vAlign w:val="center"/>
          </w:tcPr>
          <w:p w14:paraId="31194E92" w14:textId="0CEDBD33" w:rsidR="00D30A84" w:rsidRDefault="00D30A84" w:rsidP="00B80786">
            <w:pPr>
              <w:jc w:val="center"/>
              <w:rPr>
                <w:rFonts w:ascii="Arial" w:hAnsi="Arial" w:cs="Arial"/>
                <w:b/>
                <w:sz w:val="20"/>
                <w:szCs w:val="20"/>
              </w:rPr>
            </w:pPr>
          </w:p>
          <w:p w14:paraId="32E81453" w14:textId="14BAB5EF" w:rsidR="00D30A84" w:rsidRDefault="001F14E2"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59E25C74" wp14:editId="1434D295">
                  <wp:extent cx="8228571" cy="91428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5pt;height:1.35pt" o:ole="">
                  <v:imagedata r:id="rId7" o:title=""/>
                </v:shape>
                <o:OLEObject Type="Embed" ProgID="PBrush" ShapeID="_x0000_i1025" DrawAspect="Content" ObjectID="_1680961537" r:id="rId8"/>
              </w:object>
            </w:r>
          </w:p>
          <w:p w14:paraId="29A0493E" w14:textId="77777777" w:rsidR="00363991" w:rsidRDefault="00363991" w:rsidP="003C2791">
            <w:pPr>
              <w:ind w:left="1440" w:right="1440"/>
              <w:jc w:val="both"/>
              <w:rPr>
                <w:color w:val="000000"/>
                <w:lang w:val="en"/>
              </w:rPr>
            </w:pPr>
          </w:p>
          <w:p w14:paraId="2B9BDCD1" w14:textId="799ECD7C" w:rsidR="005031A6" w:rsidRDefault="005031A6" w:rsidP="005031A6">
            <w:pPr>
              <w:ind w:left="1422" w:right="1462"/>
              <w:jc w:val="both"/>
            </w:pPr>
            <w:r>
              <w:t xml:space="preserve">With </w:t>
            </w:r>
            <w:r w:rsidR="00EE5F26">
              <w:t xml:space="preserve">a </w:t>
            </w:r>
            <w:r>
              <w:t xml:space="preserve">growing customer base and increasing lab service demand, addition of new talents is warranted for Ebatco’s successful operations. To support its strategic business plan, rapid business growth, and increasing customer needs, </w:t>
            </w:r>
            <w:r>
              <w:rPr>
                <w:rFonts w:eastAsia="Times New Roman"/>
              </w:rPr>
              <w:t>Ebatco is seeking two experienced and highly motivated Technical Sales Engineers</w:t>
            </w:r>
            <w:r w:rsidR="001B2B27">
              <w:rPr>
                <w:rFonts w:eastAsia="Times New Roman"/>
              </w:rPr>
              <w:t xml:space="preserve">. </w:t>
            </w:r>
            <w:r w:rsidR="00C011C6">
              <w:rPr>
                <w:rFonts w:eastAsia="Times New Roman"/>
              </w:rPr>
              <w:t xml:space="preserve">One </w:t>
            </w:r>
            <w:r w:rsidR="001B2B27">
              <w:rPr>
                <w:rFonts w:eastAsia="Times New Roman"/>
              </w:rPr>
              <w:t>Technical Sales Engineer will</w:t>
            </w:r>
            <w:r>
              <w:rPr>
                <w:rFonts w:eastAsia="Times New Roman"/>
              </w:rPr>
              <w:t xml:space="preserve"> </w:t>
            </w:r>
            <w:r w:rsidR="00C011C6">
              <w:rPr>
                <w:rFonts w:eastAsia="Times New Roman"/>
              </w:rPr>
              <w:t>have</w:t>
            </w:r>
            <w:r>
              <w:rPr>
                <w:rFonts w:eastAsia="Times New Roman"/>
              </w:rPr>
              <w:t xml:space="preserve"> a residence in the Bay Area for sales in the Western US territory, </w:t>
            </w:r>
            <w:r w:rsidR="00C011C6">
              <w:rPr>
                <w:rFonts w:eastAsia="Times New Roman"/>
              </w:rPr>
              <w:t>and the other will have</w:t>
            </w:r>
            <w:r>
              <w:rPr>
                <w:rFonts w:eastAsia="Times New Roman"/>
              </w:rPr>
              <w:t xml:space="preserve"> a residence in the Baltimore, Philadelphia, </w:t>
            </w:r>
            <w:r w:rsidR="00EE5F26">
              <w:rPr>
                <w:rFonts w:eastAsia="Times New Roman"/>
              </w:rPr>
              <w:t>or</w:t>
            </w:r>
            <w:r>
              <w:rPr>
                <w:rFonts w:eastAsia="Times New Roman"/>
              </w:rPr>
              <w:t xml:space="preserve"> DC Area for sales in the Eastern US territory</w:t>
            </w:r>
            <w:r>
              <w:t>.</w:t>
            </w:r>
          </w:p>
          <w:p w14:paraId="704233FD" w14:textId="77777777" w:rsidR="005031A6" w:rsidRDefault="005031A6" w:rsidP="002B7702">
            <w:pPr>
              <w:ind w:right="1440"/>
              <w:jc w:val="both"/>
            </w:pPr>
          </w:p>
          <w:p w14:paraId="36D162BA" w14:textId="1A9F1BBB" w:rsidR="005031A6" w:rsidRDefault="005031A6" w:rsidP="005031A6">
            <w:pPr>
              <w:ind w:left="1440" w:right="1440"/>
              <w:jc w:val="both"/>
            </w:pPr>
            <w:r>
              <w:t>Please contact us if you are interested in one of these positions!</w:t>
            </w:r>
          </w:p>
          <w:p w14:paraId="588C3317" w14:textId="77777777" w:rsidR="005031A6" w:rsidRPr="00443035" w:rsidRDefault="005031A6" w:rsidP="005031A6">
            <w:pPr>
              <w:ind w:left="1440" w:right="1440"/>
              <w:jc w:val="both"/>
              <w:rPr>
                <w:color w:val="000000"/>
                <w:lang w:val="en"/>
              </w:rPr>
            </w:pPr>
          </w:p>
          <w:p w14:paraId="3747552D" w14:textId="5D4FD9D5"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55pt;height:1.35pt" o:ole="">
                  <v:imagedata r:id="rId9" o:title=""/>
                </v:shape>
                <o:OLEObject Type="Embed" ProgID="PBrush" ShapeID="_x0000_i1026" DrawAspect="Content" ObjectID="_1680961538" r:id="rId10"/>
              </w:object>
            </w:r>
          </w:p>
          <w:p w14:paraId="4E717413" w14:textId="77777777" w:rsidR="0004785F" w:rsidRDefault="0004785F" w:rsidP="004F3078">
            <w:pPr>
              <w:ind w:left="1440" w:right="1440"/>
              <w:jc w:val="both"/>
            </w:pPr>
          </w:p>
          <w:p w14:paraId="109DD8B1" w14:textId="1A467E31" w:rsidR="00380C42" w:rsidRDefault="005031A6" w:rsidP="00380C42">
            <w:pPr>
              <w:ind w:left="1422" w:right="1462"/>
              <w:jc w:val="both"/>
            </w:pPr>
            <w:r>
              <w:t xml:space="preserve">We are happy to announce that our company </w:t>
            </w:r>
            <w:r w:rsidR="00004DEF">
              <w:t>p</w:t>
            </w:r>
            <w:r>
              <w:t xml:space="preserve">resident, Dr. Dehua Yang, has been named a 2022 Technical Editor for </w:t>
            </w:r>
            <w:r w:rsidR="00A318D2">
              <w:t>Tribology and Lubrication Technology (</w:t>
            </w:r>
            <w:r>
              <w:t>TLT</w:t>
            </w:r>
            <w:r w:rsidR="00A318D2">
              <w:t>)</w:t>
            </w:r>
            <w:r>
              <w:t xml:space="preserve"> magazine!</w:t>
            </w:r>
          </w:p>
          <w:p w14:paraId="71ACCAD2" w14:textId="77777777" w:rsidR="005031A6" w:rsidRDefault="005031A6" w:rsidP="00380C42">
            <w:pPr>
              <w:ind w:left="1422" w:right="1462"/>
              <w:jc w:val="both"/>
            </w:pPr>
          </w:p>
          <w:p w14:paraId="5DD070C7" w14:textId="15181F2E" w:rsidR="005031A6" w:rsidRDefault="005031A6" w:rsidP="00380C42">
            <w:pPr>
              <w:ind w:left="1422" w:right="1462"/>
              <w:jc w:val="both"/>
            </w:pPr>
            <w:r>
              <w:t>Based on his extensi</w:t>
            </w:r>
            <w:r w:rsidR="00EE41E5">
              <w:t>ve knowledge, years of experience, and reputation within the lubricants industry, Dr. Yang was chosen from many highly qualified in</w:t>
            </w:r>
            <w:r w:rsidR="00A318D2">
              <w:t>dividuals to determine TLT’s editorial agenda and add to the lubrication industry’s body of knowledge.</w:t>
            </w:r>
            <w:r w:rsidR="00872F67">
              <w:t xml:space="preserve"> TLT</w:t>
            </w:r>
            <w:r w:rsidR="00872F67" w:rsidRPr="00872F67">
              <w:t xml:space="preserve"> is the official monthly publication of </w:t>
            </w:r>
            <w:r w:rsidR="00004DEF">
              <w:t xml:space="preserve">the </w:t>
            </w:r>
            <w:r w:rsidR="00004DEF" w:rsidRPr="00004DEF">
              <w:t>Society of Tribologists and Lubrication Engineers</w:t>
            </w:r>
            <w:r w:rsidR="00004DEF">
              <w:t xml:space="preserve"> (</w:t>
            </w:r>
            <w:r w:rsidR="00872F67" w:rsidRPr="00872F67">
              <w:t>STLE</w:t>
            </w:r>
            <w:r w:rsidR="00004DEF">
              <w:t>)</w:t>
            </w:r>
            <w:r w:rsidR="00872F67" w:rsidRPr="00872F67">
              <w:t xml:space="preserve"> and was created to aid in the technical education and professional development of STLE members and industry colleagues. Through its print and digital editions, TLT delivers world-class technical content to some 15,000 lubricant professionals </w:t>
            </w:r>
            <w:r w:rsidR="00004DEF">
              <w:t>every</w:t>
            </w:r>
            <w:r w:rsidR="00872F67" w:rsidRPr="00872F67">
              <w:t xml:space="preserve"> month. Each issue includes feature articles, best </w:t>
            </w:r>
            <w:r w:rsidR="005C2116">
              <w:t xml:space="preserve">analytical </w:t>
            </w:r>
            <w:r w:rsidR="00872F67" w:rsidRPr="00872F67">
              <w:t>practice</w:t>
            </w:r>
            <w:r w:rsidR="005C2116">
              <w:t>s</w:t>
            </w:r>
            <w:r w:rsidR="00872F67" w:rsidRPr="00872F67">
              <w:t xml:space="preserve">, interviews with leading lubrication professionals, emerging-technology reports, </w:t>
            </w:r>
            <w:r w:rsidR="005C2116">
              <w:t xml:space="preserve">and </w:t>
            </w:r>
            <w:r w:rsidR="00872F67" w:rsidRPr="00872F67">
              <w:t>much more.</w:t>
            </w:r>
          </w:p>
          <w:p w14:paraId="128EBCDE" w14:textId="77777777" w:rsidR="00380C42" w:rsidRDefault="00380C42" w:rsidP="00380C4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6C949C7B" w:rsidR="001C123C" w:rsidRPr="00C648E9" w:rsidRDefault="00ED5EE1" w:rsidP="00FA7A87">
            <w:pPr>
              <w:keepNext/>
              <w:spacing w:before="240" w:line="276" w:lineRule="auto"/>
              <w:ind w:left="1422" w:right="1462"/>
              <w:jc w:val="center"/>
              <w:rPr>
                <w:b/>
                <w:sz w:val="28"/>
                <w:szCs w:val="28"/>
              </w:rPr>
            </w:pPr>
            <w:r w:rsidRPr="00ED5EE1">
              <w:rPr>
                <w:b/>
                <w:sz w:val="28"/>
                <w:szCs w:val="28"/>
              </w:rPr>
              <w:t>Fracture and Plastic Resistances of Automotive Coatings Determined per ASTM D7187</w:t>
            </w:r>
            <w:bookmarkStart w:id="0" w:name="_GoBack"/>
            <w:bookmarkEnd w:id="0"/>
          </w:p>
          <w:p w14:paraId="39B8CB30" w14:textId="53731DB5" w:rsidR="005A490C" w:rsidRPr="005A490C" w:rsidRDefault="00A318D2" w:rsidP="005A490C">
            <w:pPr>
              <w:keepNext/>
              <w:spacing w:before="240" w:line="276" w:lineRule="auto"/>
              <w:ind w:left="1422" w:right="1462"/>
              <w:jc w:val="both"/>
              <w:rPr>
                <w:bCs/>
                <w:szCs w:val="20"/>
              </w:rPr>
            </w:pPr>
            <w:r w:rsidRPr="00A318D2">
              <w:rPr>
                <w:bCs/>
                <w:szCs w:val="20"/>
              </w:rPr>
              <w:t>Today’s automotive clear and paint coatings are engineered to possess a wide variety of characteristics, such as attractive color quality, a high gloss shine, and resistance to weather and abrasion. To have all of these traits, clear and paint coatings have had to continuously adapt their formulations and processing in order to meet ever evolving performance, environmental and regulatory standards. ASTM D7187 is an international standard specifying how to evaluate a coating’s scratch/mar resistance by measuring its fracture and plastic resistances. Fracture resistance is a measure of how much force must be applied to cause the coating to fracture or crack during a scratch test. This quantity is represented by a critical load value at an initial fracture. Plastic resistance is a measure of how much force is needed to plastically deform a unit depth of coating prior to coating fracture. This value is calculated through dividing the force by the residual scratch depth at a selected point along the scratch path before coating fracture. When different coatings are evaluated using the same testing conditions (scratch speed, loading rate, temperature, humidity, etc.), direct comparisons of each coating’s fracture and plastic resistance can be used to rank the coatings’ scratch and mar resistances.</w:t>
            </w:r>
          </w:p>
          <w:p w14:paraId="0B5F6774" w14:textId="77777777" w:rsidR="00A318D2" w:rsidRDefault="00A318D2" w:rsidP="005A490C">
            <w:pPr>
              <w:keepNext/>
              <w:spacing w:before="240" w:line="276" w:lineRule="auto"/>
              <w:ind w:left="1422" w:right="1462"/>
              <w:jc w:val="both"/>
              <w:rPr>
                <w:bCs/>
                <w:szCs w:val="20"/>
              </w:rPr>
            </w:pPr>
            <w:r w:rsidRPr="00A318D2">
              <w:rPr>
                <w:bCs/>
                <w:szCs w:val="20"/>
              </w:rPr>
              <w:t>In this study, exterior painted panels from two domestic and two foreign consumer vehicle brands were scratch tested. To comply with the ASTM D7187 standard, a Nano-Scratch Tester made by Anton-Paar in Switzerland was employed for these nanoscratch tests under the following testing conditions: conical-spherical diamond indenter tip with a tip radius of 2 µm, scratch speed of 3 mm/min, loading rate of 40 mN/min, and scanning preload of 0.5 mN. Prior to the nanoscratch tests, all samples were conditioned at the required temperature and humidity for at least 24 hours.</w:t>
            </w:r>
          </w:p>
          <w:p w14:paraId="0157B9DF" w14:textId="2990B47C" w:rsidR="005A490C" w:rsidRPr="005A490C" w:rsidRDefault="00A318D2" w:rsidP="005A490C">
            <w:pPr>
              <w:keepNext/>
              <w:spacing w:before="240" w:line="276" w:lineRule="auto"/>
              <w:ind w:left="1422" w:right="1462"/>
              <w:jc w:val="both"/>
              <w:rPr>
                <w:bCs/>
                <w:szCs w:val="20"/>
              </w:rPr>
            </w:pPr>
            <w:r w:rsidRPr="00A318D2">
              <w:rPr>
                <w:bCs/>
                <w:szCs w:val="20"/>
              </w:rPr>
              <w:t>A typical set of scratch test data curves and its corresponding optical image of the coating at the point of fracture is shown in Figure 1.</w:t>
            </w:r>
            <w:r w:rsidR="005A490C" w:rsidRPr="005A490C">
              <w:rPr>
                <w:bCs/>
                <w:szCs w:val="20"/>
              </w:rPr>
              <w:t xml:space="preserve"> </w:t>
            </w:r>
          </w:p>
          <w:p w14:paraId="1D8253CA" w14:textId="77777777" w:rsidR="005A490C" w:rsidRPr="005A490C" w:rsidRDefault="005A490C" w:rsidP="005A490C">
            <w:pPr>
              <w:keepNext/>
              <w:spacing w:before="240" w:line="276" w:lineRule="auto"/>
              <w:ind w:left="1422" w:right="1462"/>
              <w:jc w:val="both"/>
              <w:rPr>
                <w:bCs/>
                <w:szCs w:val="20"/>
              </w:rPr>
            </w:pPr>
          </w:p>
          <w:p w14:paraId="2BD53391" w14:textId="7EC3DEA0" w:rsidR="005A490C" w:rsidRPr="005A490C" w:rsidRDefault="00561A78" w:rsidP="005A490C">
            <w:pPr>
              <w:keepNext/>
              <w:spacing w:before="240" w:line="276" w:lineRule="auto"/>
              <w:ind w:left="1422" w:right="1462"/>
              <w:jc w:val="center"/>
              <w:rPr>
                <w:bCs/>
                <w:szCs w:val="20"/>
              </w:rPr>
            </w:pPr>
            <w:r>
              <w:rPr>
                <w:bCs/>
                <w:noProof/>
                <w:szCs w:val="20"/>
              </w:rPr>
              <w:drawing>
                <wp:inline distT="0" distB="0" distL="0" distR="0" wp14:anchorId="757EAC56" wp14:editId="3B408F78">
                  <wp:extent cx="3347085" cy="4334510"/>
                  <wp:effectExtent l="0" t="0" r="571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7085" cy="4334510"/>
                          </a:xfrm>
                          <a:prstGeom prst="rect">
                            <a:avLst/>
                          </a:prstGeom>
                          <a:noFill/>
                        </pic:spPr>
                      </pic:pic>
                    </a:graphicData>
                  </a:graphic>
                </wp:inline>
              </w:drawing>
            </w:r>
          </w:p>
          <w:p w14:paraId="2D281615" w14:textId="49EC0AD2" w:rsidR="005A490C" w:rsidRPr="005A490C" w:rsidRDefault="005A490C" w:rsidP="005A490C">
            <w:pPr>
              <w:keepNext/>
              <w:spacing w:before="240" w:line="276" w:lineRule="auto"/>
              <w:ind w:left="1422" w:right="1462"/>
              <w:jc w:val="center"/>
              <w:rPr>
                <w:bCs/>
                <w:szCs w:val="20"/>
              </w:rPr>
            </w:pPr>
            <w:r w:rsidRPr="005A490C">
              <w:rPr>
                <w:bCs/>
                <w:szCs w:val="20"/>
              </w:rPr>
              <w:t xml:space="preserve">Figure </w:t>
            </w:r>
            <w:r w:rsidRPr="005A490C">
              <w:rPr>
                <w:bCs/>
                <w:szCs w:val="20"/>
              </w:rPr>
              <w:fldChar w:fldCharType="begin"/>
            </w:r>
            <w:r w:rsidRPr="005A490C">
              <w:rPr>
                <w:bCs/>
                <w:szCs w:val="20"/>
              </w:rPr>
              <w:instrText xml:space="preserve"> SEQ Figure \* ARABIC </w:instrText>
            </w:r>
            <w:r w:rsidRPr="005A490C">
              <w:rPr>
                <w:bCs/>
                <w:szCs w:val="20"/>
              </w:rPr>
              <w:fldChar w:fldCharType="separate"/>
            </w:r>
            <w:r w:rsidRPr="005A490C">
              <w:rPr>
                <w:bCs/>
                <w:szCs w:val="20"/>
              </w:rPr>
              <w:t>1</w:t>
            </w:r>
            <w:r w:rsidRPr="005A490C">
              <w:rPr>
                <w:bCs/>
                <w:szCs w:val="20"/>
              </w:rPr>
              <w:fldChar w:fldCharType="end"/>
            </w:r>
            <w:r w:rsidRPr="005A490C">
              <w:rPr>
                <w:bCs/>
                <w:szCs w:val="20"/>
              </w:rPr>
              <w:t xml:space="preserve">. </w:t>
            </w:r>
            <w:r w:rsidR="00561A78">
              <w:t xml:space="preserve"> </w:t>
            </w:r>
            <w:r w:rsidR="00561A78" w:rsidRPr="00561A78">
              <w:rPr>
                <w:bCs/>
                <w:szCs w:val="20"/>
              </w:rPr>
              <w:t>Scratch test data (</w:t>
            </w:r>
            <w:r w:rsidR="00561A78">
              <w:rPr>
                <w:bCs/>
                <w:szCs w:val="20"/>
              </w:rPr>
              <w:t>top</w:t>
            </w:r>
            <w:r w:rsidR="00561A78" w:rsidRPr="00561A78">
              <w:rPr>
                <w:bCs/>
                <w:szCs w:val="20"/>
              </w:rPr>
              <w:t>) and an optical image of coating fracture (</w:t>
            </w:r>
            <w:r w:rsidR="00561A78">
              <w:rPr>
                <w:bCs/>
                <w:szCs w:val="20"/>
              </w:rPr>
              <w:t>bottom</w:t>
            </w:r>
            <w:r w:rsidR="00561A78" w:rsidRPr="00561A78">
              <w:rPr>
                <w:bCs/>
                <w:szCs w:val="20"/>
              </w:rPr>
              <w:t>) on Domestic 2. The blue arrow indicates the fracture initiation point.</w:t>
            </w:r>
          </w:p>
          <w:p w14:paraId="472D9E71" w14:textId="476423FF" w:rsidR="005A490C" w:rsidRPr="005A490C" w:rsidRDefault="00A318D2" w:rsidP="00A318D2">
            <w:pPr>
              <w:keepNext/>
              <w:spacing w:before="240" w:line="276" w:lineRule="auto"/>
              <w:ind w:left="1422" w:right="1462"/>
              <w:jc w:val="both"/>
              <w:rPr>
                <w:bCs/>
                <w:szCs w:val="20"/>
              </w:rPr>
            </w:pPr>
            <w:r w:rsidRPr="00A318D2">
              <w:rPr>
                <w:bCs/>
                <w:szCs w:val="20"/>
              </w:rPr>
              <w:t>During the nanoscratch tests, the scratch tip dug into the coating gradually leaving a visible trench behind until a certain point when cracks would begin to form. These cracks started out small, but would become larger and larger along the scratch path. Figure 2 presents the average determined fracture and plastic resistance values along with the measurement error bars from three repetitive measurements made on each paint coating panel. It can be seen from Figure 2 that the average fracture resistance values ranged from 4.63 to 7.82 mN, and the average plastic resistance values at 4 mN load ranged from 5.56 to 8.33 mN/µm. One coating, Foreign 2, had a significantly lower fracture resistance than the rest. Optical observation of Foreign 2 suggested that the low fracture resistance may be caused by poor adhesion between the coating and the substrate. Foreign 1 had lower plastic resistance values than the rest, indicating that this coating deforms plastically the most under the selected loading conditions.</w:t>
            </w:r>
            <w:r w:rsidR="005A490C" w:rsidRPr="005A490C">
              <w:rPr>
                <w:bCs/>
                <w:szCs w:val="20"/>
              </w:rPr>
              <w:t xml:space="preserve"> </w:t>
            </w:r>
          </w:p>
          <w:p w14:paraId="3C242E71" w14:textId="3480AC70" w:rsidR="005A490C" w:rsidRPr="005A490C" w:rsidRDefault="00A318D2" w:rsidP="005A490C">
            <w:pPr>
              <w:keepNext/>
              <w:spacing w:before="240" w:line="276" w:lineRule="auto"/>
              <w:ind w:left="1422" w:right="1462"/>
              <w:jc w:val="both"/>
              <w:rPr>
                <w:bCs/>
                <w:szCs w:val="20"/>
              </w:rPr>
            </w:pPr>
            <w:r w:rsidRPr="00A318D2">
              <w:rPr>
                <w:bCs/>
                <w:szCs w:val="20"/>
              </w:rPr>
              <w:t>One aspect to note for this study is the age of these coatings. These coating specimens were taken from used vehicles with aging and weathering histories. Exposure to environment, UV and road conditions may have caused the coatings to act differently from when they were freshly applied. Nevertheless, this study has provided insights on the coating performance after aging and exposure and would be useful for coating lifetime prediction and failure analysis.</w:t>
            </w:r>
            <w:r w:rsidR="005A490C" w:rsidRPr="005A490C">
              <w:rPr>
                <w:bCs/>
                <w:szCs w:val="20"/>
              </w:rPr>
              <w:t xml:space="preserve"> </w:t>
            </w:r>
          </w:p>
          <w:p w14:paraId="53167346" w14:textId="77777777" w:rsidR="005A490C" w:rsidRPr="005A490C" w:rsidRDefault="005A490C" w:rsidP="005A490C">
            <w:pPr>
              <w:keepNext/>
              <w:spacing w:before="240" w:line="276" w:lineRule="auto"/>
              <w:ind w:left="1422" w:right="1462"/>
              <w:jc w:val="both"/>
              <w:rPr>
                <w:bCs/>
                <w:szCs w:val="20"/>
              </w:rPr>
            </w:pPr>
          </w:p>
          <w:p w14:paraId="1F51368C" w14:textId="77777777" w:rsidR="005A490C" w:rsidRPr="005A490C" w:rsidRDefault="005A490C" w:rsidP="005A490C">
            <w:pPr>
              <w:keepNext/>
              <w:spacing w:before="240" w:line="276" w:lineRule="auto"/>
              <w:ind w:left="1422" w:right="1462"/>
              <w:jc w:val="center"/>
              <w:rPr>
                <w:bCs/>
                <w:szCs w:val="20"/>
              </w:rPr>
            </w:pPr>
            <w:r w:rsidRPr="005A490C">
              <w:rPr>
                <w:bCs/>
                <w:noProof/>
                <w:szCs w:val="20"/>
              </w:rPr>
              <w:drawing>
                <wp:inline distT="0" distB="0" distL="0" distR="0" wp14:anchorId="1D98DA21" wp14:editId="0BF4ED1F">
                  <wp:extent cx="2971800" cy="27432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5A490C">
              <w:rPr>
                <w:bCs/>
                <w:noProof/>
                <w:szCs w:val="20"/>
              </w:rPr>
              <w:drawing>
                <wp:inline distT="0" distB="0" distL="0" distR="0" wp14:anchorId="4E397C87" wp14:editId="0E6B1EB6">
                  <wp:extent cx="2971800" cy="2743200"/>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C37C4A-ED0E-4E8F-BC99-0239D385A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A664D7" w14:textId="77777777" w:rsidR="005A490C" w:rsidRPr="005A490C" w:rsidRDefault="005A490C" w:rsidP="005A490C">
            <w:pPr>
              <w:keepNext/>
              <w:spacing w:before="240" w:line="276" w:lineRule="auto"/>
              <w:ind w:left="1422" w:right="1462"/>
              <w:jc w:val="center"/>
              <w:rPr>
                <w:bCs/>
                <w:szCs w:val="20"/>
              </w:rPr>
            </w:pPr>
            <w:r w:rsidRPr="005A490C">
              <w:rPr>
                <w:bCs/>
                <w:szCs w:val="20"/>
              </w:rPr>
              <w:t>Figure 2. Average facture resistance (left) and plastic resistance (right) for all tested vehicle panel specimens.</w:t>
            </w:r>
          </w:p>
          <w:p w14:paraId="4F7746A0" w14:textId="77777777" w:rsidR="005A490C" w:rsidRPr="005A490C" w:rsidRDefault="005A490C" w:rsidP="005A490C">
            <w:pPr>
              <w:keepNext/>
              <w:spacing w:before="240" w:line="276" w:lineRule="auto"/>
              <w:ind w:left="1422" w:right="1462"/>
              <w:jc w:val="both"/>
              <w:rPr>
                <w:bCs/>
                <w:szCs w:val="20"/>
              </w:rPr>
            </w:pPr>
          </w:p>
          <w:p w14:paraId="65B39E1E" w14:textId="5400B5AC" w:rsidR="00443035" w:rsidRPr="00FA7A87" w:rsidRDefault="00A318D2" w:rsidP="005A490C">
            <w:pPr>
              <w:keepNext/>
              <w:spacing w:before="240" w:line="276" w:lineRule="auto"/>
              <w:ind w:left="1422" w:right="1462"/>
              <w:jc w:val="both"/>
              <w:rPr>
                <w:rFonts w:eastAsiaTheme="minorHAnsi"/>
                <w:noProof/>
              </w:rPr>
            </w:pPr>
            <w:r w:rsidRPr="00A318D2">
              <w:rPr>
                <w:bCs/>
                <w:szCs w:val="20"/>
              </w:rPr>
              <w:t>As this study has demonstrated, scratch testing following ASTM D7187 standard offers a reliable testing approach to determine automotive paint coatings’ fracture resistance and plastic resistance. This type of testing may be used in scratch and mar resistance determination, quality control, comparing different formulations, evaluating resistance to the environment, and predicting long-term performance of automotive coatings.</w:t>
            </w: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7"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8" w:history="1">
              <w:r w:rsidRPr="00B97A2B">
                <w:rPr>
                  <w:rStyle w:val="Hyperlink"/>
                  <w:rFonts w:ascii="Arial" w:hAnsi="Arial" w:cs="Arial"/>
                  <w:sz w:val="20"/>
                  <w:szCs w:val="20"/>
                </w:rPr>
                <w:t>www.ebatco.com</w:t>
              </w:r>
            </w:hyperlink>
          </w:p>
        </w:tc>
      </w:tr>
      <w:tr w:rsidR="00D30A84" w14:paraId="19E7157F" w14:textId="77777777" w:rsidTr="00ED5EE1">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7">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4DEF"/>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193E"/>
    <w:rsid w:val="001B20E9"/>
    <w:rsid w:val="001B2246"/>
    <w:rsid w:val="001B256B"/>
    <w:rsid w:val="001B2783"/>
    <w:rsid w:val="001B2B27"/>
    <w:rsid w:val="001B41BD"/>
    <w:rsid w:val="001B4724"/>
    <w:rsid w:val="001B74D7"/>
    <w:rsid w:val="001B790A"/>
    <w:rsid w:val="001C0664"/>
    <w:rsid w:val="001C09AC"/>
    <w:rsid w:val="001C123C"/>
    <w:rsid w:val="001C30A8"/>
    <w:rsid w:val="001C36A4"/>
    <w:rsid w:val="001C41AC"/>
    <w:rsid w:val="001C5380"/>
    <w:rsid w:val="001C53B2"/>
    <w:rsid w:val="001C6881"/>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4E2"/>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B7702"/>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7066"/>
    <w:rsid w:val="0039785F"/>
    <w:rsid w:val="00397B89"/>
    <w:rsid w:val="00397D9D"/>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3FE1"/>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36EE"/>
    <w:rsid w:val="004A4AF7"/>
    <w:rsid w:val="004A69B7"/>
    <w:rsid w:val="004A7F45"/>
    <w:rsid w:val="004B17AD"/>
    <w:rsid w:val="004B1AA5"/>
    <w:rsid w:val="004B60ED"/>
    <w:rsid w:val="004B76C9"/>
    <w:rsid w:val="004C13C9"/>
    <w:rsid w:val="004C1630"/>
    <w:rsid w:val="004C3D8B"/>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1A6"/>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1A78"/>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490C"/>
    <w:rsid w:val="005A533B"/>
    <w:rsid w:val="005A553F"/>
    <w:rsid w:val="005A5F05"/>
    <w:rsid w:val="005A7AFE"/>
    <w:rsid w:val="005B2827"/>
    <w:rsid w:val="005B3723"/>
    <w:rsid w:val="005B3A29"/>
    <w:rsid w:val="005B4525"/>
    <w:rsid w:val="005B482B"/>
    <w:rsid w:val="005B7F18"/>
    <w:rsid w:val="005C1412"/>
    <w:rsid w:val="005C1787"/>
    <w:rsid w:val="005C2116"/>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C0D"/>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2F67"/>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4E83"/>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8D2"/>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6400"/>
    <w:rsid w:val="00B07551"/>
    <w:rsid w:val="00B07D7C"/>
    <w:rsid w:val="00B1065F"/>
    <w:rsid w:val="00B144F1"/>
    <w:rsid w:val="00B16110"/>
    <w:rsid w:val="00B165E9"/>
    <w:rsid w:val="00B16FB6"/>
    <w:rsid w:val="00B17133"/>
    <w:rsid w:val="00B202BF"/>
    <w:rsid w:val="00B206D1"/>
    <w:rsid w:val="00B2158E"/>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1C6"/>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8E9"/>
    <w:rsid w:val="00C658EE"/>
    <w:rsid w:val="00C65D63"/>
    <w:rsid w:val="00C65E9F"/>
    <w:rsid w:val="00C66A26"/>
    <w:rsid w:val="00C67B60"/>
    <w:rsid w:val="00C710E0"/>
    <w:rsid w:val="00C71555"/>
    <w:rsid w:val="00C719A7"/>
    <w:rsid w:val="00C72C9C"/>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6772"/>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5EE1"/>
    <w:rsid w:val="00ED7DA5"/>
    <w:rsid w:val="00EE0682"/>
    <w:rsid w:val="00EE0FEB"/>
    <w:rsid w:val="00EE29E1"/>
    <w:rsid w:val="00EE41E5"/>
    <w:rsid w:val="00EE5F26"/>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1.xml"/><Relationship Id="rId18" Type="http://schemas.openxmlformats.org/officeDocument/2006/relationships/hyperlink" Target="http://www.ebatco.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mailto:info@ebatco.com" TargetMode="External"/><Relationship Id="rId2" Type="http://schemas.openxmlformats.org/officeDocument/2006/relationships/styles" Target="styles.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Summary!$C$3</c:f>
              <c:strCache>
                <c:ptCount val="1"/>
                <c:pt idx="0">
                  <c:v>(mN)</c:v>
                </c:pt>
              </c:strCache>
            </c:strRef>
          </c:tx>
          <c:invertIfNegative val="0"/>
          <c:errBars>
            <c:errBarType val="both"/>
            <c:errValType val="cust"/>
            <c:noEndCap val="0"/>
            <c:plus>
              <c:numRef>
                <c:f>Summary!$O$26:$O$49</c:f>
                <c:numCache>
                  <c:formatCode>General</c:formatCode>
                  <c:ptCount val="24"/>
                  <c:pt idx="0">
                    <c:v>0.13868429375143171</c:v>
                  </c:pt>
                  <c:pt idx="1">
                    <c:v>0.28536526301099319</c:v>
                  </c:pt>
                  <c:pt idx="2">
                    <c:v>0.22941955743426351</c:v>
                  </c:pt>
                  <c:pt idx="3">
                    <c:v>7.7674534651540478E-2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plus>
            <c:minus>
              <c:numRef>
                <c:f>Summary!$O$26:$O$49</c:f>
                <c:numCache>
                  <c:formatCode>General</c:formatCode>
                  <c:ptCount val="24"/>
                  <c:pt idx="0">
                    <c:v>0.13868429375143171</c:v>
                  </c:pt>
                  <c:pt idx="1">
                    <c:v>0.28536526301099319</c:v>
                  </c:pt>
                  <c:pt idx="2">
                    <c:v>0.22941955743426351</c:v>
                  </c:pt>
                  <c:pt idx="3">
                    <c:v>7.7674534651540478E-2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minus>
          </c:errBars>
          <c:cat>
            <c:strRef>
              <c:f>Summary!$M$26:$M$49</c:f>
              <c:strCache>
                <c:ptCount val="24"/>
                <c:pt idx="0">
                  <c:v>Domestic 1</c:v>
                </c:pt>
                <c:pt idx="1">
                  <c:v>Domestic 2</c:v>
                </c:pt>
                <c:pt idx="2">
                  <c:v>Foreign 1</c:v>
                </c:pt>
                <c:pt idx="3">
                  <c:v>Foreign 2</c:v>
                </c:pt>
                <c:pt idx="4">
                  <c:v>Foreign 3</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Summary!$N$26:$N$29</c:f>
              <c:numCache>
                <c:formatCode>0.00</c:formatCode>
                <c:ptCount val="4"/>
                <c:pt idx="0">
                  <c:v>6.746666666666667</c:v>
                </c:pt>
                <c:pt idx="1">
                  <c:v>7.6033333333333344</c:v>
                </c:pt>
                <c:pt idx="2">
                  <c:v>6.9833333333333334</c:v>
                </c:pt>
                <c:pt idx="3">
                  <c:v>4.7166666666666677</c:v>
                </c:pt>
              </c:numCache>
            </c:numRef>
          </c:val>
          <c:extLst xmlns:c16r2="http://schemas.microsoft.com/office/drawing/2015/06/chart">
            <c:ext xmlns:c16="http://schemas.microsoft.com/office/drawing/2014/chart" uri="{C3380CC4-5D6E-409C-BE32-E72D297353CC}">
              <c16:uniqueId val="{00000000-EB67-44BC-A0CA-A4FA2BCE6716}"/>
            </c:ext>
          </c:extLst>
        </c:ser>
        <c:dLbls>
          <c:showLegendKey val="0"/>
          <c:showVal val="0"/>
          <c:showCatName val="0"/>
          <c:showSerName val="0"/>
          <c:showPercent val="0"/>
          <c:showBubbleSize val="0"/>
        </c:dLbls>
        <c:gapWidth val="150"/>
        <c:axId val="160098176"/>
        <c:axId val="160099712"/>
      </c:barChart>
      <c:catAx>
        <c:axId val="160098176"/>
        <c:scaling>
          <c:orientation val="minMax"/>
        </c:scaling>
        <c:delete val="0"/>
        <c:axPos val="b"/>
        <c:numFmt formatCode="General" sourceLinked="1"/>
        <c:majorTickMark val="out"/>
        <c:minorTickMark val="none"/>
        <c:tickLblPos val="nextTo"/>
        <c:txPr>
          <a:bodyPr/>
          <a:lstStyle/>
          <a:p>
            <a:pPr>
              <a:defRPr b="0"/>
            </a:pPr>
            <a:endParaRPr lang="en-US"/>
          </a:p>
        </c:txPr>
        <c:crossAx val="160099712"/>
        <c:crosses val="autoZero"/>
        <c:auto val="1"/>
        <c:lblAlgn val="ctr"/>
        <c:lblOffset val="100"/>
        <c:noMultiLvlLbl val="0"/>
      </c:catAx>
      <c:valAx>
        <c:axId val="160099712"/>
        <c:scaling>
          <c:orientation val="minMax"/>
          <c:min val="0"/>
        </c:scaling>
        <c:delete val="0"/>
        <c:axPos val="l"/>
        <c:majorGridlines>
          <c:spPr>
            <a:ln>
              <a:prstDash val="sysDot"/>
            </a:ln>
          </c:spPr>
        </c:majorGridlines>
        <c:title>
          <c:tx>
            <c:rich>
              <a:bodyPr rot="-5400000" vert="horz"/>
              <a:lstStyle/>
              <a:p>
                <a:pPr>
                  <a:defRPr/>
                </a:pPr>
                <a:r>
                  <a:rPr lang="en-US"/>
                  <a:t>Fracture</a:t>
                </a:r>
                <a:r>
                  <a:rPr lang="en-US" baseline="0"/>
                  <a:t> Resistance</a:t>
                </a:r>
                <a:r>
                  <a:rPr lang="en-US"/>
                  <a:t> (mN)</a:t>
                </a:r>
              </a:p>
            </c:rich>
          </c:tx>
          <c:overlay val="0"/>
        </c:title>
        <c:numFmt formatCode="General" sourceLinked="0"/>
        <c:majorTickMark val="out"/>
        <c:minorTickMark val="none"/>
        <c:tickLblPos val="nextTo"/>
        <c:crossAx val="160098176"/>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Summary!$E$3</c:f>
              <c:strCache>
                <c:ptCount val="1"/>
                <c:pt idx="0">
                  <c:v>(mN/um)</c:v>
                </c:pt>
              </c:strCache>
            </c:strRef>
          </c:tx>
          <c:invertIfNegative val="0"/>
          <c:errBars>
            <c:errBarType val="both"/>
            <c:errValType val="cust"/>
            <c:noEndCap val="0"/>
            <c:plus>
              <c:numRef>
                <c:f>Summary!$S$26:$S$49</c:f>
                <c:numCache>
                  <c:formatCode>General</c:formatCode>
                  <c:ptCount val="24"/>
                  <c:pt idx="0">
                    <c:v>0.15273816645228175</c:v>
                  </c:pt>
                  <c:pt idx="1">
                    <c:v>0.14799284279414304</c:v>
                  </c:pt>
                  <c:pt idx="2">
                    <c:v>0.66566432724877034</c:v>
                  </c:pt>
                  <c:pt idx="3">
                    <c:v>0.1924500897298756</c:v>
                  </c:pt>
                  <c:pt idx="4">
                    <c:v>0</c:v>
                  </c:pt>
                </c:numCache>
              </c:numRef>
            </c:plus>
            <c:minus>
              <c:numRef>
                <c:f>Summary!$S$26:$S$49</c:f>
                <c:numCache>
                  <c:formatCode>General</c:formatCode>
                  <c:ptCount val="24"/>
                  <c:pt idx="0">
                    <c:v>0.15273816645228175</c:v>
                  </c:pt>
                  <c:pt idx="1">
                    <c:v>0.14799284279414304</c:v>
                  </c:pt>
                  <c:pt idx="2">
                    <c:v>0.66566432724877034</c:v>
                  </c:pt>
                  <c:pt idx="3">
                    <c:v>0.1924500897298756</c:v>
                  </c:pt>
                  <c:pt idx="4">
                    <c:v>0</c:v>
                  </c:pt>
                </c:numCache>
              </c:numRef>
            </c:minus>
          </c:errBars>
          <c:cat>
            <c:strRef>
              <c:f>Summary!$M$26:$M$49</c:f>
              <c:strCache>
                <c:ptCount val="24"/>
                <c:pt idx="0">
                  <c:v>Domestic 1</c:v>
                </c:pt>
                <c:pt idx="1">
                  <c:v>Domestic 2</c:v>
                </c:pt>
                <c:pt idx="2">
                  <c:v>Foreign 1</c:v>
                </c:pt>
                <c:pt idx="3">
                  <c:v>Foreign 2</c:v>
                </c:pt>
                <c:pt idx="4">
                  <c:v>Foreign 3</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Summary!$R$26:$R$29</c:f>
              <c:numCache>
                <c:formatCode>0.00</c:formatCode>
                <c:ptCount val="4"/>
                <c:pt idx="0">
                  <c:v>7.3192239858906518</c:v>
                </c:pt>
                <c:pt idx="1">
                  <c:v>7.6942049195101347</c:v>
                </c:pt>
                <c:pt idx="2">
                  <c:v>6.0165007622634752</c:v>
                </c:pt>
                <c:pt idx="3">
                  <c:v>8.1111111111111125</c:v>
                </c:pt>
              </c:numCache>
            </c:numRef>
          </c:val>
          <c:extLst xmlns:c16r2="http://schemas.microsoft.com/office/drawing/2015/06/chart">
            <c:ext xmlns:c16="http://schemas.microsoft.com/office/drawing/2014/chart" uri="{C3380CC4-5D6E-409C-BE32-E72D297353CC}">
              <c16:uniqueId val="{00000000-C516-4F64-8E68-92219EB330DC}"/>
            </c:ext>
          </c:extLst>
        </c:ser>
        <c:dLbls>
          <c:showLegendKey val="0"/>
          <c:showVal val="0"/>
          <c:showCatName val="0"/>
          <c:showSerName val="0"/>
          <c:showPercent val="0"/>
          <c:showBubbleSize val="0"/>
        </c:dLbls>
        <c:gapWidth val="150"/>
        <c:axId val="224912512"/>
        <c:axId val="224914816"/>
      </c:barChart>
      <c:catAx>
        <c:axId val="224912512"/>
        <c:scaling>
          <c:orientation val="minMax"/>
        </c:scaling>
        <c:delete val="0"/>
        <c:axPos val="b"/>
        <c:numFmt formatCode="General" sourceLinked="1"/>
        <c:majorTickMark val="out"/>
        <c:minorTickMark val="none"/>
        <c:tickLblPos val="nextTo"/>
        <c:txPr>
          <a:bodyPr/>
          <a:lstStyle/>
          <a:p>
            <a:pPr>
              <a:defRPr b="0"/>
            </a:pPr>
            <a:endParaRPr lang="en-US"/>
          </a:p>
        </c:txPr>
        <c:crossAx val="224914816"/>
        <c:crosses val="autoZero"/>
        <c:auto val="1"/>
        <c:lblAlgn val="ctr"/>
        <c:lblOffset val="100"/>
        <c:noMultiLvlLbl val="0"/>
      </c:catAx>
      <c:valAx>
        <c:axId val="224914816"/>
        <c:scaling>
          <c:orientation val="minMax"/>
          <c:min val="0"/>
        </c:scaling>
        <c:delete val="0"/>
        <c:axPos val="l"/>
        <c:majorGridlines>
          <c:spPr>
            <a:ln>
              <a:prstDash val="sysDot"/>
            </a:ln>
          </c:spPr>
        </c:majorGridlines>
        <c:title>
          <c:tx>
            <c:rich>
              <a:bodyPr rot="-5400000" vert="horz"/>
              <a:lstStyle/>
              <a:p>
                <a:pPr>
                  <a:defRPr/>
                </a:pPr>
                <a:r>
                  <a:rPr lang="en-US">
                    <a:latin typeface="Times New Roman" panose="02020603050405020304" pitchFamily="18" charset="0"/>
                    <a:cs typeface="Times New Roman" panose="02020603050405020304" pitchFamily="18" charset="0"/>
                  </a:rPr>
                  <a:t>Plastic Resistance at 4 mN Load (mN/µm</a:t>
                </a:r>
                <a:r>
                  <a:rPr lang="en-US"/>
                  <a:t>)</a:t>
                </a:r>
              </a:p>
            </c:rich>
          </c:tx>
          <c:overlay val="0"/>
        </c:title>
        <c:numFmt formatCode="General" sourceLinked="0"/>
        <c:majorTickMark val="out"/>
        <c:minorTickMark val="none"/>
        <c:tickLblPos val="nextTo"/>
        <c:crossAx val="224912512"/>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newsletter trial</Template>
  <TotalTime>4236</TotalTime>
  <Pages>3</Pages>
  <Words>923</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6249</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13</cp:revision>
  <cp:lastPrinted>2011-11-29T15:28:00Z</cp:lastPrinted>
  <dcterms:created xsi:type="dcterms:W3CDTF">2021-04-23T15:17:00Z</dcterms:created>
  <dcterms:modified xsi:type="dcterms:W3CDTF">2021-04-26T21:58:00Z</dcterms:modified>
</cp:coreProperties>
</file>