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bookmarkStart w:id="0" w:name="_GoBack"/>
    </w:p>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8022DE">
        <w:trPr>
          <w:trHeight w:val="570"/>
        </w:trPr>
        <w:tc>
          <w:tcPr>
            <w:tcW w:w="16150" w:type="dxa"/>
            <w:vAlign w:val="center"/>
          </w:tcPr>
          <w:p w14:paraId="31194E92" w14:textId="086CD2E2" w:rsidR="00D30A84" w:rsidRDefault="00D30A84" w:rsidP="00B80786">
            <w:pPr>
              <w:jc w:val="center"/>
              <w:rPr>
                <w:rFonts w:ascii="Arial" w:hAnsi="Arial" w:cs="Arial"/>
                <w:b/>
                <w:sz w:val="20"/>
                <w:szCs w:val="20"/>
              </w:rPr>
            </w:pPr>
          </w:p>
          <w:p w14:paraId="32E81453" w14:textId="609B2C23" w:rsidR="00D30A84" w:rsidRDefault="00083E30"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3BF92C62" wp14:editId="4BEF32DA">
                  <wp:extent cx="8228571" cy="914286"/>
                  <wp:effectExtent l="0" t="0" r="127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19 Sep-Oct.png"/>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5pt" o:ole="">
                  <v:imagedata r:id="rId7" o:title=""/>
                </v:shape>
                <o:OLEObject Type="Embed" ProgID="PBrush" ShapeID="_x0000_i1025" DrawAspect="Content" ObjectID="_1633356219" r:id="rId8"/>
              </w:object>
            </w:r>
          </w:p>
          <w:p w14:paraId="29A0493E" w14:textId="77777777" w:rsidR="00363991" w:rsidRDefault="00363991" w:rsidP="003C2791">
            <w:pPr>
              <w:ind w:left="1440" w:right="1440"/>
              <w:jc w:val="both"/>
              <w:rPr>
                <w:color w:val="000000"/>
                <w:lang w:val="en"/>
              </w:rPr>
            </w:pPr>
          </w:p>
          <w:p w14:paraId="3168B824" w14:textId="7DB720DE" w:rsidR="002E3005" w:rsidRDefault="0097545F" w:rsidP="00AE284E">
            <w:pPr>
              <w:ind w:left="1440" w:right="1440"/>
              <w:jc w:val="both"/>
              <w:rPr>
                <w:color w:val="000000"/>
                <w:lang w:val="en"/>
              </w:rPr>
            </w:pPr>
            <w:r>
              <w:rPr>
                <w:color w:val="000000"/>
                <w:lang w:val="en"/>
              </w:rPr>
              <w:t xml:space="preserve">Thank you to all who attended the training course, “Contamination, Impurity, and Unknown Material Identification”! It was a big success and we hope to continue providing </w:t>
            </w:r>
            <w:r w:rsidR="00C738C4">
              <w:rPr>
                <w:color w:val="000000"/>
                <w:lang w:val="en"/>
              </w:rPr>
              <w:t>advanced and practical</w:t>
            </w:r>
            <w:r>
              <w:rPr>
                <w:color w:val="000000"/>
                <w:lang w:val="en"/>
              </w:rPr>
              <w:t xml:space="preserve"> training </w:t>
            </w:r>
            <w:r w:rsidR="00C738C4">
              <w:rPr>
                <w:color w:val="000000"/>
                <w:lang w:val="en"/>
              </w:rPr>
              <w:t xml:space="preserve">courses </w:t>
            </w:r>
            <w:r>
              <w:rPr>
                <w:color w:val="000000"/>
                <w:lang w:val="en"/>
              </w:rPr>
              <w:t>on a variety of topics</w:t>
            </w:r>
            <w:r w:rsidR="00057CD7">
              <w:rPr>
                <w:color w:val="000000"/>
                <w:lang w:val="en"/>
              </w:rPr>
              <w:t xml:space="preserve"> in the near future</w:t>
            </w:r>
            <w:r>
              <w:rPr>
                <w:color w:val="000000"/>
                <w:lang w:val="en"/>
              </w:rPr>
              <w:t>.</w:t>
            </w:r>
          </w:p>
          <w:p w14:paraId="4CE7D6EA" w14:textId="77777777" w:rsidR="0077350C" w:rsidRDefault="0077350C" w:rsidP="00C348F4">
            <w:pPr>
              <w:ind w:right="1440"/>
              <w:jc w:val="both"/>
              <w:rPr>
                <w:color w:val="000000"/>
                <w:lang w:val="en"/>
              </w:rPr>
            </w:pPr>
          </w:p>
          <w:p w14:paraId="641B5083" w14:textId="332015CB" w:rsidR="001A48DF" w:rsidRDefault="001A48DF" w:rsidP="001A48DF">
            <w:pPr>
              <w:ind w:left="1440" w:right="1440"/>
              <w:jc w:val="both"/>
            </w:pPr>
            <w:proofErr w:type="spellStart"/>
            <w:r>
              <w:t>Ebatco</w:t>
            </w:r>
            <w:proofErr w:type="spellEnd"/>
            <w:r>
              <w:t xml:space="preserve"> will be exhibiting at </w:t>
            </w:r>
            <w:r w:rsidR="00587795">
              <w:t>the</w:t>
            </w:r>
            <w:r w:rsidR="00363991">
              <w:t>se</w:t>
            </w:r>
            <w:r w:rsidR="00587795">
              <w:t xml:space="preserve"> </w:t>
            </w:r>
            <w:r>
              <w:t>upcoming events:</w:t>
            </w:r>
          </w:p>
          <w:p w14:paraId="1B2B258E" w14:textId="77777777" w:rsidR="00C67B60" w:rsidRDefault="00C67B60" w:rsidP="001A48DF">
            <w:pPr>
              <w:ind w:left="1440" w:right="1440"/>
              <w:jc w:val="both"/>
            </w:pPr>
          </w:p>
          <w:p w14:paraId="34D7DCEB" w14:textId="24161E5D" w:rsidR="00587326" w:rsidRDefault="00587326" w:rsidP="0094661C">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October 23</w:t>
            </w:r>
            <w:r w:rsidRPr="00587326">
              <w:rPr>
                <w:rFonts w:ascii="Times New Roman" w:hAnsi="Times New Roman"/>
                <w:sz w:val="24"/>
                <w:szCs w:val="24"/>
                <w:vertAlign w:val="superscript"/>
              </w:rPr>
              <w:t>rd</w:t>
            </w:r>
            <w:r>
              <w:rPr>
                <w:rFonts w:ascii="Times New Roman" w:hAnsi="Times New Roman"/>
                <w:sz w:val="24"/>
                <w:szCs w:val="24"/>
              </w:rPr>
              <w:t xml:space="preserve"> – October 24</w:t>
            </w:r>
            <w:r w:rsidRPr="00587326">
              <w:rPr>
                <w:rFonts w:ascii="Times New Roman" w:hAnsi="Times New Roman"/>
                <w:sz w:val="24"/>
                <w:szCs w:val="24"/>
                <w:vertAlign w:val="superscript"/>
              </w:rPr>
              <w:t>th</w:t>
            </w:r>
            <w:r>
              <w:rPr>
                <w:rFonts w:ascii="Times New Roman" w:hAnsi="Times New Roman"/>
                <w:sz w:val="24"/>
                <w:szCs w:val="24"/>
              </w:rPr>
              <w:t xml:space="preserve">, MD&amp;M </w:t>
            </w:r>
            <w:r w:rsidR="00C3734B">
              <w:rPr>
                <w:rFonts w:ascii="Times New Roman" w:hAnsi="Times New Roman"/>
                <w:sz w:val="24"/>
                <w:szCs w:val="24"/>
              </w:rPr>
              <w:t>2019, Booth #</w:t>
            </w:r>
            <w:r>
              <w:rPr>
                <w:rFonts w:ascii="Times New Roman" w:hAnsi="Times New Roman"/>
                <w:sz w:val="24"/>
                <w:szCs w:val="24"/>
              </w:rPr>
              <w:t>1040, Minneapolis Convention Center, Minneapolis, MN</w:t>
            </w:r>
          </w:p>
          <w:p w14:paraId="61CA17E1" w14:textId="26478F12" w:rsidR="00C3734B" w:rsidRPr="00C3734B" w:rsidRDefault="00587326" w:rsidP="00C3734B">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November 10</w:t>
            </w:r>
            <w:r w:rsidRPr="00587326">
              <w:rPr>
                <w:rFonts w:ascii="Times New Roman" w:hAnsi="Times New Roman"/>
                <w:sz w:val="24"/>
                <w:szCs w:val="24"/>
                <w:vertAlign w:val="superscript"/>
              </w:rPr>
              <w:t>th</w:t>
            </w:r>
            <w:r>
              <w:rPr>
                <w:rFonts w:ascii="Times New Roman" w:hAnsi="Times New Roman"/>
                <w:sz w:val="24"/>
                <w:szCs w:val="24"/>
              </w:rPr>
              <w:t xml:space="preserve"> – 14</w:t>
            </w:r>
            <w:r w:rsidRPr="00587326">
              <w:rPr>
                <w:rFonts w:ascii="Times New Roman" w:hAnsi="Times New Roman"/>
                <w:sz w:val="24"/>
                <w:szCs w:val="24"/>
                <w:vertAlign w:val="superscript"/>
              </w:rPr>
              <w:t>th</w:t>
            </w:r>
            <w:r>
              <w:rPr>
                <w:rFonts w:ascii="Times New Roman" w:hAnsi="Times New Roman"/>
                <w:sz w:val="24"/>
                <w:szCs w:val="24"/>
              </w:rPr>
              <w:t>, ISTFA 2019, Booth</w:t>
            </w:r>
            <w:r w:rsidR="00C3734B">
              <w:rPr>
                <w:rFonts w:ascii="Times New Roman" w:hAnsi="Times New Roman"/>
                <w:sz w:val="24"/>
                <w:szCs w:val="24"/>
              </w:rPr>
              <w:t xml:space="preserve"> #</w:t>
            </w:r>
            <w:r>
              <w:rPr>
                <w:rFonts w:ascii="Times New Roman" w:hAnsi="Times New Roman"/>
                <w:sz w:val="24"/>
                <w:szCs w:val="24"/>
              </w:rPr>
              <w:t>806</w:t>
            </w:r>
            <w:r w:rsidR="00C3734B">
              <w:rPr>
                <w:rFonts w:ascii="Times New Roman" w:hAnsi="Times New Roman"/>
                <w:sz w:val="24"/>
                <w:szCs w:val="24"/>
              </w:rPr>
              <w:t>,</w:t>
            </w:r>
            <w:r w:rsidR="00033CBE">
              <w:rPr>
                <w:rFonts w:ascii="Times New Roman" w:hAnsi="Times New Roman"/>
                <w:sz w:val="24"/>
                <w:szCs w:val="24"/>
              </w:rPr>
              <w:t xml:space="preserve"> Oregon Convention Center,</w:t>
            </w:r>
            <w:r w:rsidR="00C3734B">
              <w:rPr>
                <w:rFonts w:ascii="Times New Roman" w:hAnsi="Times New Roman"/>
                <w:sz w:val="24"/>
                <w:szCs w:val="24"/>
              </w:rPr>
              <w:t xml:space="preserve"> Portland, OR</w:t>
            </w:r>
          </w:p>
          <w:p w14:paraId="63D348B6" w14:textId="77777777" w:rsidR="00837D7C" w:rsidRPr="0094661C" w:rsidRDefault="00837D7C" w:rsidP="0094661C">
            <w:pPr>
              <w:pStyle w:val="ListParagraph"/>
              <w:numPr>
                <w:ilvl w:val="0"/>
                <w:numId w:val="8"/>
              </w:numPr>
              <w:ind w:right="1440"/>
              <w:jc w:val="both"/>
              <w:rPr>
                <w:rFonts w:ascii="Times New Roman" w:hAnsi="Times New Roman"/>
                <w:sz w:val="24"/>
                <w:szCs w:val="24"/>
              </w:rPr>
            </w:pPr>
            <w:r w:rsidRPr="0094661C">
              <w:rPr>
                <w:rFonts w:ascii="Times New Roman" w:hAnsi="Times New Roman"/>
                <w:sz w:val="24"/>
                <w:szCs w:val="24"/>
              </w:rPr>
              <w:t>December 1</w:t>
            </w:r>
            <w:r w:rsidRPr="0094661C">
              <w:rPr>
                <w:rFonts w:ascii="Times New Roman" w:hAnsi="Times New Roman"/>
                <w:sz w:val="24"/>
                <w:szCs w:val="24"/>
                <w:vertAlign w:val="superscript"/>
              </w:rPr>
              <w:t>st</w:t>
            </w:r>
            <w:r w:rsidRPr="0094661C">
              <w:rPr>
                <w:rFonts w:ascii="Times New Roman" w:hAnsi="Times New Roman"/>
                <w:sz w:val="24"/>
                <w:szCs w:val="24"/>
              </w:rPr>
              <w:t xml:space="preserve"> – 6</w:t>
            </w:r>
            <w:r w:rsidRPr="0094661C">
              <w:rPr>
                <w:rFonts w:ascii="Times New Roman" w:hAnsi="Times New Roman"/>
                <w:sz w:val="24"/>
                <w:szCs w:val="24"/>
                <w:vertAlign w:val="superscript"/>
              </w:rPr>
              <w:t>th</w:t>
            </w:r>
            <w:r w:rsidRPr="0094661C">
              <w:rPr>
                <w:rFonts w:ascii="Times New Roman" w:hAnsi="Times New Roman"/>
                <w:sz w:val="24"/>
                <w:szCs w:val="24"/>
              </w:rPr>
              <w:t>, Materials Research Society Fall Meeting &amp; Exhibit, Hynes Convention Center, Boston, MA</w:t>
            </w:r>
          </w:p>
          <w:p w14:paraId="059D8ED2" w14:textId="602D2955" w:rsidR="001A48DF" w:rsidRDefault="001A48DF" w:rsidP="001A48DF">
            <w:pPr>
              <w:ind w:left="1440" w:right="1440"/>
              <w:jc w:val="both"/>
            </w:pPr>
            <w:r>
              <w:t xml:space="preserve">Please stop by our booth to discuss the incredible world of </w:t>
            </w:r>
            <w:r w:rsidR="00CC6F95">
              <w:t xml:space="preserve">surface sciences, nanotechnologies, </w:t>
            </w:r>
            <w:r>
              <w:t xml:space="preserve">nanomaterials, and </w:t>
            </w:r>
            <w:proofErr w:type="spellStart"/>
            <w:r>
              <w:t>nano</w:t>
            </w:r>
            <w:proofErr w:type="spellEnd"/>
            <w:r>
              <w:t xml:space="preserve">/micro scale </w:t>
            </w:r>
            <w:r w:rsidR="00CC6F95">
              <w:t>material and device</w:t>
            </w:r>
            <w:r>
              <w:t xml:space="preserve"> characterization with our staff scientists. We hope to see you there!</w:t>
            </w:r>
          </w:p>
          <w:p w14:paraId="087CD014" w14:textId="77777777" w:rsidR="00194781" w:rsidRDefault="00194781" w:rsidP="00194781">
            <w:pPr>
              <w:ind w:left="1440" w:right="1440"/>
              <w:jc w:val="both"/>
            </w:pPr>
            <w:r>
              <w:t xml:space="preserve"> </w:t>
            </w:r>
          </w:p>
          <w:p w14:paraId="3747552D" w14:textId="77777777"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75pt;height:1.5pt" o:ole="">
                  <v:imagedata r:id="rId9" o:title=""/>
                </v:shape>
                <o:OLEObject Type="Embed" ProgID="PBrush" ShapeID="_x0000_i1026" DrawAspect="Content" ObjectID="_1633356220" r:id="rId10"/>
              </w:object>
            </w:r>
          </w:p>
          <w:p w14:paraId="4E717413" w14:textId="77777777" w:rsidR="0004785F" w:rsidRDefault="0004785F" w:rsidP="004F3078">
            <w:pPr>
              <w:ind w:left="1440" w:right="1440"/>
              <w:jc w:val="both"/>
            </w:pPr>
          </w:p>
          <w:p w14:paraId="0261359C" w14:textId="32D841EA" w:rsidR="00966FE1" w:rsidRDefault="00966FE1" w:rsidP="00966FE1">
            <w:pPr>
              <w:ind w:left="1440" w:right="1440"/>
              <w:jc w:val="both"/>
            </w:pPr>
            <w:r>
              <w:t xml:space="preserve">In order to better support the materials analysis needs of our customers, </w:t>
            </w:r>
            <w:proofErr w:type="spellStart"/>
            <w:r>
              <w:t>Ebatco</w:t>
            </w:r>
            <w:proofErr w:type="spellEnd"/>
            <w:r>
              <w:t xml:space="preserve"> has acquired a </w:t>
            </w:r>
            <w:proofErr w:type="spellStart"/>
            <w:r>
              <w:t>Rigaku</w:t>
            </w:r>
            <w:proofErr w:type="spellEnd"/>
            <w:r>
              <w:t xml:space="preserve"> </w:t>
            </w:r>
            <w:proofErr w:type="spellStart"/>
            <w:r>
              <w:t>SmartLab</w:t>
            </w:r>
            <w:proofErr w:type="spellEnd"/>
            <w:r>
              <w:t xml:space="preserve"> X-Ray Diffractometer.  The </w:t>
            </w:r>
            <w:proofErr w:type="spellStart"/>
            <w:r>
              <w:t>SmartLab</w:t>
            </w:r>
            <w:proofErr w:type="spellEnd"/>
            <w:r>
              <w:t xml:space="preserve"> XRD is </w:t>
            </w:r>
            <w:r w:rsidRPr="00015585">
              <w:t>designed for quickly switching between parallel beam and Bragg-Brentano modes, allowing us to provide everything from high resolution single crystal measurements to powder diffraction services with a minimum of instrumental setup time.</w:t>
            </w:r>
            <w:r>
              <w:t xml:space="preserve">  </w:t>
            </w:r>
            <w:r w:rsidR="00057CD7">
              <w:t>XRD</w:t>
            </w:r>
            <w:r>
              <w:t xml:space="preserve"> is an ideal method for measuring quantitative composition, film thicknesses, residual stress and strain, lattice parameters, polymer crystallinity, and identifying unknown materials.  XRD is a fast and non-destructive method for measuring structural properties of a huge range of materials, such as metals, alloys, ceramics, geological samples, pharmaceuticals, oxides, and thin films. </w:t>
            </w:r>
          </w:p>
          <w:p w14:paraId="6B447D89" w14:textId="77777777" w:rsidR="00A525FC" w:rsidRDefault="00A525FC" w:rsidP="004F3078">
            <w:pPr>
              <w:ind w:left="1440" w:right="1440"/>
              <w:jc w:val="both"/>
            </w:pPr>
          </w:p>
          <w:p w14:paraId="3D90EAAE" w14:textId="4BFB5FE9" w:rsidR="00A525FC" w:rsidRDefault="00A75628" w:rsidP="0086078C">
            <w:pPr>
              <w:ind w:left="1440" w:right="1440"/>
              <w:jc w:val="center"/>
            </w:pPr>
            <w:r>
              <w:rPr>
                <w:noProof/>
              </w:rPr>
              <w:drawing>
                <wp:inline distT="0" distB="0" distL="0" distR="0" wp14:anchorId="059B3D72" wp14:editId="692ECBE2">
                  <wp:extent cx="3657600" cy="274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D.jpg"/>
                          <pic:cNvPicPr/>
                        </pic:nvPicPr>
                        <pic:blipFill>
                          <a:blip r:embed="rId11">
                            <a:extLst>
                              <a:ext uri="{28A0092B-C50C-407E-A947-70E740481C1C}">
                                <a14:useLocalDpi xmlns:a14="http://schemas.microsoft.com/office/drawing/2010/main" val="0"/>
                              </a:ext>
                            </a:extLst>
                          </a:blip>
                          <a:stretch>
                            <a:fillRect/>
                          </a:stretch>
                        </pic:blipFill>
                        <pic:spPr>
                          <a:xfrm rot="5400000">
                            <a:off x="0" y="0"/>
                            <a:ext cx="3657600" cy="2743200"/>
                          </a:xfrm>
                          <a:prstGeom prst="rect">
                            <a:avLst/>
                          </a:prstGeom>
                        </pic:spPr>
                      </pic:pic>
                    </a:graphicData>
                  </a:graphic>
                </wp:inline>
              </w:drawing>
            </w:r>
          </w:p>
          <w:p w14:paraId="2AF4F453" w14:textId="77777777" w:rsidR="00A525FC" w:rsidRDefault="00A525FC" w:rsidP="004F3078">
            <w:pPr>
              <w:ind w:left="1440" w:right="1440"/>
              <w:jc w:val="both"/>
            </w:pPr>
          </w:p>
          <w:p w14:paraId="124DEB4C" w14:textId="04D8A07E" w:rsidR="00A525FC" w:rsidRDefault="00A525FC" w:rsidP="0086078C">
            <w:pPr>
              <w:ind w:left="1440" w:right="1440"/>
              <w:jc w:val="center"/>
            </w:pPr>
            <w:r>
              <w:t xml:space="preserve">The </w:t>
            </w:r>
            <w:proofErr w:type="spellStart"/>
            <w:r>
              <w:t>Rigaku</w:t>
            </w:r>
            <w:proofErr w:type="spellEnd"/>
            <w:r>
              <w:t xml:space="preserve"> </w:t>
            </w:r>
            <w:proofErr w:type="spellStart"/>
            <w:r>
              <w:t>SmartLab</w:t>
            </w:r>
            <w:proofErr w:type="spellEnd"/>
            <w:r>
              <w:t xml:space="preserve"> </w:t>
            </w:r>
            <w:r w:rsidR="00D61C8A">
              <w:t>X-ray Diffractometer</w:t>
            </w:r>
          </w:p>
          <w:p w14:paraId="70F0CBE8" w14:textId="77777777" w:rsidR="00363991" w:rsidRDefault="00363991" w:rsidP="007F6928">
            <w:pPr>
              <w:ind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508D271D" w14:textId="77777777" w:rsidR="002E78BA" w:rsidRDefault="002E78BA" w:rsidP="002E78BA">
            <w:pPr>
              <w:jc w:val="center"/>
              <w:rPr>
                <w:b/>
                <w:bCs/>
                <w:sz w:val="28"/>
                <w:szCs w:val="28"/>
              </w:rPr>
            </w:pPr>
            <w:r w:rsidRPr="001803C4">
              <w:rPr>
                <w:b/>
                <w:bCs/>
                <w:sz w:val="28"/>
                <w:szCs w:val="28"/>
              </w:rPr>
              <w:t>Mineral Identification in Geological Samples</w:t>
            </w:r>
          </w:p>
          <w:p w14:paraId="522267A3" w14:textId="2C3FBA3C" w:rsidR="002E78BA" w:rsidRPr="001803C4" w:rsidRDefault="002E78BA" w:rsidP="00C22787">
            <w:pPr>
              <w:ind w:left="1422" w:firstLine="13050"/>
              <w:jc w:val="center"/>
              <w:rPr>
                <w:b/>
                <w:bCs/>
                <w:sz w:val="28"/>
                <w:szCs w:val="28"/>
              </w:rPr>
            </w:pPr>
          </w:p>
          <w:p w14:paraId="0CEECBD5" w14:textId="77777777" w:rsidR="002E78BA" w:rsidRDefault="002E78BA" w:rsidP="00C22787">
            <w:pPr>
              <w:ind w:left="1422" w:right="1462"/>
              <w:jc w:val="both"/>
            </w:pPr>
            <w:r>
              <w:t>Unknown identification is a common problem that doesn’t always have a simple solution</w:t>
            </w:r>
            <w:r w:rsidRPr="001803C4">
              <w:t xml:space="preserve">.  Phase identification </w:t>
            </w:r>
            <w:r>
              <w:t xml:space="preserve">of inorganics such as geological materials </w:t>
            </w:r>
            <w:r w:rsidRPr="001803C4">
              <w:t xml:space="preserve">is important for grade control of ores during exploration of mineral deposits, </w:t>
            </w:r>
            <w:r>
              <w:t xml:space="preserve">for </w:t>
            </w:r>
            <w:r w:rsidRPr="001803C4">
              <w:t xml:space="preserve">determining corrosion products in order to mitigate corrosion processes, and </w:t>
            </w:r>
            <w:r>
              <w:t>for offering</w:t>
            </w:r>
            <w:r w:rsidRPr="001803C4">
              <w:t xml:space="preserve"> clues to the formation mechanisms of rocks for geologists.  X-ray diffraction </w:t>
            </w:r>
            <w:r>
              <w:t xml:space="preserve">(XRD) </w:t>
            </w:r>
            <w:r w:rsidRPr="001803C4">
              <w:t>is the standard method for qualitative or quantitative unknown identification of polycrystalline materials</w:t>
            </w:r>
            <w:r>
              <w:t xml:space="preserve">, but further information can provide valuable insights. </w:t>
            </w:r>
            <w:r w:rsidRPr="001803C4">
              <w:t xml:space="preserve">  </w:t>
            </w:r>
          </w:p>
          <w:p w14:paraId="400E6845" w14:textId="77777777" w:rsidR="002E78BA" w:rsidRPr="001803C4" w:rsidRDefault="002E78BA" w:rsidP="00C22787">
            <w:pPr>
              <w:ind w:left="1422" w:right="1462"/>
              <w:jc w:val="both"/>
            </w:pPr>
          </w:p>
          <w:p w14:paraId="03C2FA42" w14:textId="4A201EE3" w:rsidR="002E78BA" w:rsidRDefault="002E78BA" w:rsidP="00C22787">
            <w:pPr>
              <w:ind w:left="1422" w:right="1462"/>
              <w:jc w:val="both"/>
            </w:pPr>
            <w:r>
              <w:t xml:space="preserve">For instance, when a more </w:t>
            </w:r>
            <w:r w:rsidRPr="001803C4">
              <w:t xml:space="preserve">comprehensive picture </w:t>
            </w:r>
            <w:r>
              <w:t>is needed for</w:t>
            </w:r>
            <w:r w:rsidRPr="001803C4">
              <w:t xml:space="preserve"> an unknown material’s identity, history, and anticipated properties</w:t>
            </w:r>
            <w:r>
              <w:t>, scanning electron microscopy (SE</w:t>
            </w:r>
            <w:r w:rsidRPr="001803C4">
              <w:t>M</w:t>
            </w:r>
            <w:r>
              <w:t>)</w:t>
            </w:r>
            <w:r w:rsidRPr="001803C4">
              <w:t>,</w:t>
            </w:r>
            <w:r>
              <w:t xml:space="preserve"> energy dispersive X-ray spectroscopy</w:t>
            </w:r>
            <w:r w:rsidRPr="001803C4">
              <w:t xml:space="preserve"> </w:t>
            </w:r>
            <w:r>
              <w:t>(</w:t>
            </w:r>
            <w:r w:rsidRPr="001803C4">
              <w:t>EDS</w:t>
            </w:r>
            <w:r>
              <w:t>)</w:t>
            </w:r>
            <w:r w:rsidRPr="001803C4">
              <w:t xml:space="preserve">, </w:t>
            </w:r>
            <w:r>
              <w:t xml:space="preserve">could be used to </w:t>
            </w:r>
            <w:r w:rsidRPr="004F65AD">
              <w:t xml:space="preserve">complement </w:t>
            </w:r>
            <w:r w:rsidRPr="001803C4">
              <w:t>XRD</w:t>
            </w:r>
            <w:r>
              <w:t xml:space="preserve"> work.</w:t>
            </w:r>
            <w:r w:rsidRPr="001803C4">
              <w:t xml:space="preserve"> SEM visually characterizes the microstructure</w:t>
            </w:r>
            <w:r>
              <w:t>s;</w:t>
            </w:r>
            <w:r w:rsidRPr="001803C4">
              <w:t xml:space="preserve"> EDS yields the elemental composition</w:t>
            </w:r>
            <w:r>
              <w:t>s</w:t>
            </w:r>
            <w:r w:rsidRPr="001803C4">
              <w:t xml:space="preserve"> and XRD identifies the crystalline structure</w:t>
            </w:r>
            <w:r>
              <w:t>s</w:t>
            </w:r>
            <w:r w:rsidRPr="001803C4">
              <w:t xml:space="preserve">.  In this case study, </w:t>
            </w:r>
            <w:r>
              <w:t>all three techniques were used to identify the</w:t>
            </w:r>
            <w:r w:rsidRPr="001803C4">
              <w:t xml:space="preserve"> minerals present in the geological sample</w:t>
            </w:r>
            <w:r>
              <w:t xml:space="preserve"> </w:t>
            </w:r>
            <w:r w:rsidRPr="001803C4">
              <w:t xml:space="preserve">seen in Figure 1.  </w:t>
            </w:r>
          </w:p>
          <w:p w14:paraId="6A076B9F" w14:textId="77777777" w:rsidR="002E78BA" w:rsidRDefault="002E78BA" w:rsidP="00C22787">
            <w:pPr>
              <w:ind w:left="1422" w:right="1462"/>
              <w:jc w:val="both"/>
              <w:rPr>
                <w:noProof/>
              </w:rPr>
            </w:pPr>
            <w:r>
              <w:t>First, t</w:t>
            </w:r>
            <w:r w:rsidRPr="001803C4">
              <w:t>he microstructure was imaged in the SEM</w:t>
            </w:r>
            <w:r>
              <w:t xml:space="preserve"> using backscattered electrons and low vacuum mode to avoid charging effects without coating the sample</w:t>
            </w:r>
            <w:r w:rsidRPr="001803C4">
              <w:t xml:space="preserve">.  A typical region </w:t>
            </w:r>
            <w:r>
              <w:t xml:space="preserve">demonstrating at least two distinct microstructures </w:t>
            </w:r>
            <w:r w:rsidRPr="001803C4">
              <w:t xml:space="preserve">is shown in the lower left of Figure 1.  </w:t>
            </w:r>
            <w:r>
              <w:t xml:space="preserve">Simultaneously, the distributions of aluminum and silicon were recorded with EDS (mapped in red and blue, respectively.) </w:t>
            </w:r>
            <w:r>
              <w:rPr>
                <w:noProof/>
              </w:rPr>
              <w:t>Next, high quality spectra were recorded from each region to determine the quantitative elemental compositions precisely.  An accelerating voltage of</w:t>
            </w:r>
            <w:r w:rsidRPr="001803C4">
              <w:rPr>
                <w:noProof/>
              </w:rPr>
              <w:t xml:space="preserve"> 30 kV </w:t>
            </w:r>
            <w:r>
              <w:rPr>
                <w:noProof/>
              </w:rPr>
              <w:t xml:space="preserve">was used </w:t>
            </w:r>
            <w:r w:rsidRPr="001803C4">
              <w:rPr>
                <w:noProof/>
              </w:rPr>
              <w:t xml:space="preserve">to ensure all elements present would be detected.  </w:t>
            </w:r>
            <w:r>
              <w:rPr>
                <w:noProof/>
              </w:rPr>
              <w:t>The major components in the aluminum rich phase were Al, O, and Si, with trace amounts of F, K, and Mn.  The silicon-rich phase was a 1:2 ratio of Si:O, with trace amounts of Al and K, strongly suggesting SiO</w:t>
            </w:r>
            <w:r w:rsidRPr="008E7501">
              <w:rPr>
                <w:noProof/>
                <w:vertAlign w:val="subscript"/>
              </w:rPr>
              <w:t>2</w:t>
            </w:r>
            <w:r>
              <w:rPr>
                <w:noProof/>
              </w:rPr>
              <w:t>.  However, there are several chemically identical forms of silicon dioxide; crystobalite, quartz, and glass all share the same chemical fomula.</w:t>
            </w:r>
          </w:p>
          <w:p w14:paraId="6345F62C" w14:textId="76666522" w:rsidR="00033CE3" w:rsidRDefault="00033CE3" w:rsidP="00033CE3">
            <w:pPr>
              <w:ind w:left="1422" w:right="1462"/>
              <w:jc w:val="center"/>
              <w:rPr>
                <w:noProof/>
              </w:rPr>
            </w:pPr>
            <w:r>
              <w:rPr>
                <w:noProof/>
              </w:rPr>
              <w:drawing>
                <wp:inline distT="0" distB="0" distL="0" distR="0" wp14:anchorId="5142B612" wp14:editId="074FBFF6">
                  <wp:extent cx="3285744" cy="259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eral ID Fig1.jpg"/>
                          <pic:cNvPicPr/>
                        </pic:nvPicPr>
                        <pic:blipFill>
                          <a:blip r:embed="rId13">
                            <a:extLst>
                              <a:ext uri="{28A0092B-C50C-407E-A947-70E740481C1C}">
                                <a14:useLocalDpi xmlns:a14="http://schemas.microsoft.com/office/drawing/2010/main" val="0"/>
                              </a:ext>
                            </a:extLst>
                          </a:blip>
                          <a:stretch>
                            <a:fillRect/>
                          </a:stretch>
                        </pic:blipFill>
                        <pic:spPr>
                          <a:xfrm>
                            <a:off x="0" y="0"/>
                            <a:ext cx="3285744" cy="2590800"/>
                          </a:xfrm>
                          <a:prstGeom prst="rect">
                            <a:avLst/>
                          </a:prstGeom>
                        </pic:spPr>
                      </pic:pic>
                    </a:graphicData>
                  </a:graphic>
                </wp:inline>
              </w:drawing>
            </w:r>
          </w:p>
          <w:p w14:paraId="1C39BF0C" w14:textId="13805C2C" w:rsidR="00033CE3" w:rsidRDefault="00033CE3" w:rsidP="00033CE3">
            <w:pPr>
              <w:ind w:right="1462"/>
              <w:jc w:val="both"/>
            </w:pPr>
          </w:p>
          <w:p w14:paraId="31C2D884" w14:textId="05BD7E21" w:rsidR="00033CE3" w:rsidRDefault="00033CE3" w:rsidP="00033CE3">
            <w:pPr>
              <w:ind w:left="1422" w:right="1462"/>
              <w:jc w:val="center"/>
            </w:pPr>
            <w:r w:rsidRPr="007B7CB1">
              <w:rPr>
                <w:noProof/>
              </w:rPr>
              <mc:AlternateContent>
                <mc:Choice Requires="wps">
                  <w:drawing>
                    <wp:inline distT="0" distB="0" distL="0" distR="0" wp14:anchorId="519C70B5" wp14:editId="799CBCD9">
                      <wp:extent cx="5961413" cy="542925"/>
                      <wp:effectExtent l="0" t="0" r="1270" b="952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542925"/>
                              </a:xfrm>
                              <a:prstGeom prst="rect">
                                <a:avLst/>
                              </a:prstGeom>
                              <a:solidFill>
                                <a:srgbClr val="FFFFFF"/>
                              </a:solidFill>
                              <a:ln w="9525">
                                <a:noFill/>
                                <a:miter lim="800000"/>
                                <a:headEnd/>
                                <a:tailEnd/>
                              </a:ln>
                            </wps:spPr>
                            <wps:txbx>
                              <w:txbxContent>
                                <w:p w14:paraId="3E5CB5F6" w14:textId="374AB252" w:rsidR="00033CE3" w:rsidRPr="007B7CB1" w:rsidRDefault="00033CE3" w:rsidP="00033CE3">
                                  <w:pPr>
                                    <w:jc w:val="center"/>
                                    <w:rPr>
                                      <w:sz w:val="20"/>
                                      <w:szCs w:val="20"/>
                                    </w:rPr>
                                  </w:pPr>
                                  <w:proofErr w:type="gramStart"/>
                                  <w:r w:rsidRPr="001803C4">
                                    <w:rPr>
                                      <w:sz w:val="20"/>
                                      <w:szCs w:val="20"/>
                                    </w:rPr>
                                    <w:t xml:space="preserve">Figure </w:t>
                                  </w:r>
                                  <w:r w:rsidRPr="001803C4">
                                    <w:rPr>
                                      <w:sz w:val="20"/>
                                      <w:szCs w:val="20"/>
                                    </w:rPr>
                                    <w:fldChar w:fldCharType="begin"/>
                                  </w:r>
                                  <w:r w:rsidRPr="001803C4">
                                    <w:rPr>
                                      <w:sz w:val="20"/>
                                      <w:szCs w:val="20"/>
                                    </w:rPr>
                                    <w:instrText xml:space="preserve"> SEQ Figure \* ARABIC </w:instrText>
                                  </w:r>
                                  <w:r w:rsidRPr="001803C4">
                                    <w:rPr>
                                      <w:sz w:val="20"/>
                                      <w:szCs w:val="20"/>
                                    </w:rPr>
                                    <w:fldChar w:fldCharType="separate"/>
                                  </w:r>
                                  <w:r>
                                    <w:rPr>
                                      <w:noProof/>
                                      <w:sz w:val="20"/>
                                      <w:szCs w:val="20"/>
                                    </w:rPr>
                                    <w:t>1</w:t>
                                  </w:r>
                                  <w:r w:rsidRPr="001803C4">
                                    <w:rPr>
                                      <w:noProof/>
                                      <w:sz w:val="20"/>
                                      <w:szCs w:val="20"/>
                                    </w:rPr>
                                    <w:fldChar w:fldCharType="end"/>
                                  </w:r>
                                  <w:r w:rsidRPr="001803C4">
                                    <w:rPr>
                                      <w:sz w:val="20"/>
                                      <w:szCs w:val="20"/>
                                    </w:rPr>
                                    <w:t>.</w:t>
                                  </w:r>
                                  <w:proofErr w:type="gramEnd"/>
                                  <w:r w:rsidRPr="001803C4">
                                    <w:rPr>
                                      <w:sz w:val="20"/>
                                      <w:szCs w:val="20"/>
                                    </w:rPr>
                                    <w:t xml:space="preserve"> Top right: Optical image of </w:t>
                                  </w:r>
                                  <w:r>
                                    <w:rPr>
                                      <w:sz w:val="20"/>
                                      <w:szCs w:val="20"/>
                                    </w:rPr>
                                    <w:t>a</w:t>
                                  </w:r>
                                  <w:r w:rsidRPr="001803C4">
                                    <w:rPr>
                                      <w:sz w:val="20"/>
                                      <w:szCs w:val="20"/>
                                    </w:rPr>
                                    <w:t xml:space="preserve"> polished geological sample</w:t>
                                  </w:r>
                                  <w:r w:rsidRPr="001803C4">
                                    <w:rPr>
                                      <w:noProof/>
                                      <w:sz w:val="20"/>
                                      <w:szCs w:val="20"/>
                                    </w:rPr>
                                    <w:t>. Bottom left: backscattered electron image of the sample surface</w:t>
                                  </w:r>
                                  <w:r w:rsidRPr="001803C4">
                                    <w:rPr>
                                      <w:sz w:val="20"/>
                                      <w:szCs w:val="20"/>
                                    </w:rPr>
                                    <w:t xml:space="preserve"> with </w:t>
                                  </w:r>
                                  <w:proofErr w:type="gramStart"/>
                                  <w:r w:rsidRPr="001803C4">
                                    <w:rPr>
                                      <w:sz w:val="20"/>
                                      <w:szCs w:val="20"/>
                                    </w:rPr>
                                    <w:t>EDS</w:t>
                                  </w:r>
                                  <w:proofErr w:type="gramEnd"/>
                                  <w:r w:rsidRPr="001803C4">
                                    <w:rPr>
                                      <w:sz w:val="20"/>
                                      <w:szCs w:val="20"/>
                                    </w:rPr>
                                    <w:t xml:space="preserve"> data represented by false colors.  Red areas indicate aluminum-rich </w:t>
                                  </w:r>
                                  <w:proofErr w:type="gramStart"/>
                                  <w:r w:rsidRPr="001803C4">
                                    <w:rPr>
                                      <w:sz w:val="20"/>
                                      <w:szCs w:val="20"/>
                                    </w:rPr>
                                    <w:t>areas,</w:t>
                                  </w:r>
                                  <w:proofErr w:type="gramEnd"/>
                                  <w:r w:rsidRPr="001803C4">
                                    <w:rPr>
                                      <w:sz w:val="20"/>
                                      <w:szCs w:val="20"/>
                                    </w:rPr>
                                    <w:t xml:space="preserve"> blue areas indicate Si-rich areas</w:t>
                                  </w:r>
                                </w:p>
                              </w:txbxContent>
                            </wps:txbx>
                            <wps:bodyPr rot="0" vert="horz" wrap="square" lIns="91440" tIns="45720" rIns="91440" bIns="45720" anchor="t" anchorCtr="0">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9C70B5" id="_x0000_t202" coordsize="21600,21600" o:spt="202" path="m,l,21600r21600,l21600,xe">
                      <v:stroke joinstyle="miter"/>
                      <v:path gradientshapeok="t" o:connecttype="rect"/>
                    </v:shapetype>
                    <v:shape id="Text Box 6" o:spid="_x0000_s1026" type="#_x0000_t202" style="width:469.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" stroked="f">
                      <v:textbox>
                        <w:txbxContent>
                          <w:p w14:paraId="3E5CB5F6" w14:textId="374AB252" w:rsidR="00033CE3" w:rsidRPr="007B7CB1" w:rsidRDefault="00033CE3" w:rsidP="00033CE3">
                            <w:pPr>
                              <w:jc w:val="center"/>
                              <w:rPr>
                                <w:sz w:val="20"/>
                                <w:szCs w:val="20"/>
                              </w:rPr>
                            </w:pPr>
                            <w:r w:rsidRPr="001803C4">
                              <w:rPr>
                                <w:sz w:val="20"/>
                                <w:szCs w:val="20"/>
                              </w:rPr>
                              <w:t xml:space="preserve">Figure </w:t>
                            </w:r>
                            <w:r w:rsidRPr="001803C4">
                              <w:rPr>
                                <w:sz w:val="20"/>
                                <w:szCs w:val="20"/>
                              </w:rPr>
                              <w:fldChar w:fldCharType="begin"/>
                            </w:r>
                            <w:r w:rsidRPr="001803C4">
                              <w:rPr>
                                <w:sz w:val="20"/>
                                <w:szCs w:val="20"/>
                              </w:rPr>
                              <w:instrText xml:space="preserve"> SEQ Figure \* ARABIC </w:instrText>
                            </w:r>
                            <w:r w:rsidRPr="001803C4">
                              <w:rPr>
                                <w:sz w:val="20"/>
                                <w:szCs w:val="20"/>
                              </w:rPr>
                              <w:fldChar w:fldCharType="separate"/>
                            </w:r>
                            <w:r>
                              <w:rPr>
                                <w:noProof/>
                                <w:sz w:val="20"/>
                                <w:szCs w:val="20"/>
                              </w:rPr>
                              <w:t>1</w:t>
                            </w:r>
                            <w:r w:rsidRPr="001803C4">
                              <w:rPr>
                                <w:noProof/>
                                <w:sz w:val="20"/>
                                <w:szCs w:val="20"/>
                              </w:rPr>
                              <w:fldChar w:fldCharType="end"/>
                            </w:r>
                            <w:r w:rsidRPr="001803C4">
                              <w:rPr>
                                <w:sz w:val="20"/>
                                <w:szCs w:val="20"/>
                              </w:rPr>
                              <w:t xml:space="preserve">. Top right: Optical image of </w:t>
                            </w:r>
                            <w:r>
                              <w:rPr>
                                <w:sz w:val="20"/>
                                <w:szCs w:val="20"/>
                              </w:rPr>
                              <w:t>a</w:t>
                            </w:r>
                            <w:r w:rsidRPr="001803C4">
                              <w:rPr>
                                <w:sz w:val="20"/>
                                <w:szCs w:val="20"/>
                              </w:rPr>
                              <w:t xml:space="preserve"> polished geological sample</w:t>
                            </w:r>
                            <w:r w:rsidRPr="001803C4">
                              <w:rPr>
                                <w:noProof/>
                                <w:sz w:val="20"/>
                                <w:szCs w:val="20"/>
                              </w:rPr>
                              <w:t>. Bottom left: backscattered electron image of the sample surface</w:t>
                            </w:r>
                            <w:r w:rsidRPr="001803C4">
                              <w:rPr>
                                <w:sz w:val="20"/>
                                <w:szCs w:val="20"/>
                              </w:rPr>
                              <w:t xml:space="preserve"> with EDS data represented by false colors.  Red areas indicate aluminum-rich areas, blue areas indicate Si-rich areas</w:t>
                            </w:r>
                          </w:p>
                        </w:txbxContent>
                      </v:textbox>
                      <w10:anchorlock/>
                    </v:shape>
                  </w:pict>
                </mc:Fallback>
              </mc:AlternateContent>
            </w:r>
          </w:p>
          <w:p w14:paraId="0F3611E2" w14:textId="77777777" w:rsidR="00033CE3" w:rsidRDefault="00033CE3" w:rsidP="00033CE3">
            <w:pPr>
              <w:ind w:left="1422" w:right="1462"/>
              <w:jc w:val="center"/>
            </w:pPr>
          </w:p>
          <w:p w14:paraId="7E06FBC7" w14:textId="77777777" w:rsidR="002E78BA" w:rsidRDefault="002E78BA" w:rsidP="00C22787">
            <w:pPr>
              <w:ind w:left="1422" w:right="1462"/>
              <w:jc w:val="both"/>
            </w:pPr>
            <w:r>
              <w:t xml:space="preserve">An XRD pattern measures the crystalline structure of a material, which can be used to fingerprint unknowns and distinguish between different phases of the same chemical.  The sample’s XRD pattern was measured using </w:t>
            </w:r>
            <w:r w:rsidRPr="001803C4">
              <w:t xml:space="preserve">a </w:t>
            </w:r>
            <w:proofErr w:type="spellStart"/>
            <w:r w:rsidRPr="001803C4">
              <w:t>Rigaku</w:t>
            </w:r>
            <w:proofErr w:type="spellEnd"/>
            <w:r w:rsidRPr="001803C4">
              <w:t xml:space="preserve"> </w:t>
            </w:r>
            <w:proofErr w:type="spellStart"/>
            <w:r w:rsidRPr="001803C4">
              <w:t>SmartLab</w:t>
            </w:r>
            <w:proofErr w:type="spellEnd"/>
            <w:r w:rsidRPr="001803C4">
              <w:t xml:space="preserve"> XRD with a Cu Kα x-ray source run at 40 kV and 44 mA</w:t>
            </w:r>
            <w:r>
              <w:t xml:space="preserve"> in the Bragg-Brentano geometry</w:t>
            </w:r>
            <w:r w:rsidRPr="001803C4">
              <w:t>.  The sample is polycrystalline and did not require any sample preparation for</w:t>
            </w:r>
            <w:r>
              <w:t xml:space="preserve"> qualitative</w:t>
            </w:r>
            <w:r w:rsidRPr="001803C4">
              <w:t xml:space="preserve"> phase identification.  The </w:t>
            </w:r>
            <w:r>
              <w:t>resulting diffraction pattern is shown</w:t>
            </w:r>
            <w:r w:rsidRPr="001803C4">
              <w:t xml:space="preserve"> </w:t>
            </w:r>
            <w:r w:rsidRPr="008D00F3">
              <w:t>below in Figure 2.  The peak positions and relative intensity ratios were compared to those of reference materials in powder diffraction file library in order to positively identify the crystalline structures.  The sample was found to contain three</w:t>
            </w:r>
            <w:r>
              <w:t xml:space="preserve"> different materials listed in Table 1. </w:t>
            </w:r>
            <w:r w:rsidRPr="001803C4">
              <w:t>The peak positions of the matching phases are indicated with the experimental pattern in Figure 2.</w:t>
            </w:r>
          </w:p>
          <w:p w14:paraId="6CF600BE" w14:textId="1E43381F" w:rsidR="002E78BA" w:rsidRDefault="002E78BA" w:rsidP="00C22787">
            <w:pPr>
              <w:ind w:left="1422" w:right="1462"/>
              <w:jc w:val="center"/>
            </w:pPr>
            <w:r w:rsidRPr="008D00F3">
              <w:rPr>
                <w:noProof/>
              </w:rPr>
              <w:drawing>
                <wp:inline distT="0" distB="0" distL="0" distR="0" wp14:anchorId="38F07E04" wp14:editId="7D1F2B6D">
                  <wp:extent cx="4180114" cy="2773438"/>
                  <wp:effectExtent l="0" t="0" r="0" b="8255"/>
                  <wp:docPr id="28" name="Picture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71D875-7A25-4196-822B-CAC2B14C2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871D875-7A25-4196-822B-CAC2B14C2D22}"/>
                              </a:ext>
                            </a:extLst>
                          </pic:cNvPr>
                          <pic:cNvPicPr>
                            <a:picLocks noChangeAspect="1"/>
                          </pic:cNvPicPr>
                        </pic:nvPicPr>
                        <pic:blipFill rotWithShape="1">
                          <a:blip r:embed="rId14">
                            <a:extLst>
                              <a:ext uri="{28A0092B-C50C-407E-A947-70E740481C1C}">
                                <a14:useLocalDpi xmlns:a14="http://schemas.microsoft.com/office/drawing/2010/main" val="0"/>
                              </a:ext>
                            </a:extLst>
                          </a:blip>
                          <a:srcRect r="3269" b="6642"/>
                          <a:stretch/>
                        </pic:blipFill>
                        <pic:spPr bwMode="auto">
                          <a:xfrm>
                            <a:off x="0" y="0"/>
                            <a:ext cx="4250566" cy="2820182"/>
                          </a:xfrm>
                          <a:prstGeom prst="rect">
                            <a:avLst/>
                          </a:prstGeom>
                          <a:ln>
                            <a:noFill/>
                          </a:ln>
                          <a:extLst>
                            <a:ext uri="{53640926-AAD7-44D8-BBD7-CCE9431645EC}">
                              <a14:shadowObscured xmlns:a14="http://schemas.microsoft.com/office/drawing/2010/main"/>
                            </a:ext>
                          </a:extLst>
                        </pic:spPr>
                      </pic:pic>
                    </a:graphicData>
                  </a:graphic>
                </wp:inline>
              </w:drawing>
            </w:r>
            <w:r w:rsidR="00C22787" w:rsidRPr="007B7CB1">
              <w:rPr>
                <w:noProof/>
              </w:rPr>
              <mc:AlternateContent>
                <mc:Choice Requires="wps">
                  <w:drawing>
                    <wp:inline distT="0" distB="0" distL="0" distR="0" wp14:anchorId="13CCCBF0" wp14:editId="32B88563">
                      <wp:extent cx="5961413" cy="427512"/>
                      <wp:effectExtent l="0" t="0" r="127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413" cy="427512"/>
                              </a:xfrm>
                              <a:prstGeom prst="rect">
                                <a:avLst/>
                              </a:prstGeom>
                              <a:solidFill>
                                <a:srgbClr val="FFFFFF"/>
                              </a:solidFill>
                              <a:ln w="9525">
                                <a:noFill/>
                                <a:miter lim="800000"/>
                                <a:headEnd/>
                                <a:tailEnd/>
                              </a:ln>
                            </wps:spPr>
                            <wps:txbx>
                              <w:txbxContent>
                                <w:p w14:paraId="3926BD91" w14:textId="7F290C7F" w:rsidR="00C22787" w:rsidRPr="007B7CB1" w:rsidRDefault="00C22787" w:rsidP="00C22787">
                                  <w:pPr>
                                    <w:jc w:val="center"/>
                                    <w:rPr>
                                      <w:sz w:val="20"/>
                                      <w:szCs w:val="20"/>
                                    </w:rPr>
                                  </w:pPr>
                                  <w:proofErr w:type="gramStart"/>
                                  <w:r w:rsidRPr="007B7CB1">
                                    <w:rPr>
                                      <w:sz w:val="20"/>
                                      <w:szCs w:val="20"/>
                                    </w:rPr>
                                    <w:t>Figure</w:t>
                                  </w:r>
                                  <w:r w:rsidR="008022DE">
                                    <w:rPr>
                                      <w:sz w:val="20"/>
                                      <w:szCs w:val="20"/>
                                    </w:rPr>
                                    <w:t xml:space="preserve"> 2</w:t>
                                  </w:r>
                                  <w:r w:rsidRPr="007B7CB1">
                                    <w:rPr>
                                      <w:sz w:val="20"/>
                                      <w:szCs w:val="20"/>
                                    </w:rPr>
                                    <w:t>.</w:t>
                                  </w:r>
                                  <w:proofErr w:type="gramEnd"/>
                                  <w:r w:rsidRPr="007B7CB1">
                                    <w:rPr>
                                      <w:sz w:val="20"/>
                                      <w:szCs w:val="20"/>
                                    </w:rPr>
                                    <w:t xml:space="preserve"> </w:t>
                                  </w:r>
                                  <w:proofErr w:type="gramStart"/>
                                  <w:r w:rsidRPr="007B7CB1">
                                    <w:rPr>
                                      <w:sz w:val="20"/>
                                      <w:szCs w:val="20"/>
                                    </w:rPr>
                                    <w:t>X-ray diffraction pattern of the geological sample.</w:t>
                                  </w:r>
                                  <w:proofErr w:type="gramEnd"/>
                                  <w:r w:rsidRPr="007B7CB1">
                                    <w:rPr>
                                      <w:sz w:val="20"/>
                                      <w:szCs w:val="20"/>
                                    </w:rPr>
                                    <w:t xml:space="preserve">  Blue, pink, and green vertical lines indicate the predicted angles of </w:t>
                                  </w:r>
                                  <w:proofErr w:type="spellStart"/>
                                  <w:r>
                                    <w:rPr>
                                      <w:sz w:val="20"/>
                                      <w:szCs w:val="20"/>
                                    </w:rPr>
                                    <w:t>l</w:t>
                                  </w:r>
                                  <w:r w:rsidRPr="007B7CB1">
                                    <w:rPr>
                                      <w:sz w:val="20"/>
                                      <w:szCs w:val="20"/>
                                    </w:rPr>
                                    <w:t>epidolite</w:t>
                                  </w:r>
                                  <w:proofErr w:type="spellEnd"/>
                                  <w:r w:rsidRPr="007B7CB1">
                                    <w:rPr>
                                      <w:sz w:val="20"/>
                                      <w:szCs w:val="20"/>
                                    </w:rPr>
                                    <w:t xml:space="preserve">, </w:t>
                                  </w:r>
                                  <w:r>
                                    <w:rPr>
                                      <w:sz w:val="20"/>
                                      <w:szCs w:val="20"/>
                                    </w:rPr>
                                    <w:t>m</w:t>
                                  </w:r>
                                  <w:r w:rsidRPr="007B7CB1">
                                    <w:rPr>
                                      <w:sz w:val="20"/>
                                      <w:szCs w:val="20"/>
                                    </w:rPr>
                                    <w:t xml:space="preserve">uscovite, and </w:t>
                                  </w:r>
                                  <w:r>
                                    <w:rPr>
                                      <w:sz w:val="20"/>
                                      <w:szCs w:val="20"/>
                                    </w:rPr>
                                    <w:t>q</w:t>
                                  </w:r>
                                  <w:r w:rsidRPr="007B7CB1">
                                    <w:rPr>
                                      <w:sz w:val="20"/>
                                      <w:szCs w:val="20"/>
                                    </w:rPr>
                                    <w:t>uartz diffraction peaks</w:t>
                                  </w:r>
                                  <w:r>
                                    <w:rPr>
                                      <w:sz w:val="20"/>
                                      <w:szCs w:val="20"/>
                                    </w:rPr>
                                    <w:t>, respectively.</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469.4pt;height:3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" stroked="f">
                      <v:textbox>
                        <w:txbxContent>
                          <w:p w14:paraId="3926BD91" w14:textId="7F290C7F" w:rsidR="00C22787" w:rsidRPr="007B7CB1" w:rsidRDefault="00C22787" w:rsidP="00C22787">
                            <w:pPr>
                              <w:jc w:val="center"/>
                              <w:rPr>
                                <w:sz w:val="20"/>
                                <w:szCs w:val="20"/>
                              </w:rPr>
                            </w:pPr>
                            <w:proofErr w:type="gramStart"/>
                            <w:r w:rsidRPr="007B7CB1">
                              <w:rPr>
                                <w:sz w:val="20"/>
                                <w:szCs w:val="20"/>
                              </w:rPr>
                              <w:t>Figure</w:t>
                            </w:r>
                            <w:r w:rsidR="008022DE">
                              <w:rPr>
                                <w:sz w:val="20"/>
                                <w:szCs w:val="20"/>
                              </w:rPr>
                              <w:t xml:space="preserve"> 2</w:t>
                            </w:r>
                            <w:r w:rsidRPr="007B7CB1">
                              <w:rPr>
                                <w:sz w:val="20"/>
                                <w:szCs w:val="20"/>
                              </w:rPr>
                              <w:t>.</w:t>
                            </w:r>
                            <w:proofErr w:type="gramEnd"/>
                            <w:r w:rsidRPr="007B7CB1">
                              <w:rPr>
                                <w:sz w:val="20"/>
                                <w:szCs w:val="20"/>
                              </w:rPr>
                              <w:t xml:space="preserve"> </w:t>
                            </w:r>
                            <w:proofErr w:type="gramStart"/>
                            <w:r w:rsidRPr="007B7CB1">
                              <w:rPr>
                                <w:sz w:val="20"/>
                                <w:szCs w:val="20"/>
                              </w:rPr>
                              <w:t>X-ray diffraction pattern of the geological sample.</w:t>
                            </w:r>
                            <w:proofErr w:type="gramEnd"/>
                            <w:r w:rsidRPr="007B7CB1">
                              <w:rPr>
                                <w:sz w:val="20"/>
                                <w:szCs w:val="20"/>
                              </w:rPr>
                              <w:t xml:space="preserve">  Blue, pink, and green vertical lines indicate the predicted angles of </w:t>
                            </w:r>
                            <w:proofErr w:type="spellStart"/>
                            <w:r>
                              <w:rPr>
                                <w:sz w:val="20"/>
                                <w:szCs w:val="20"/>
                              </w:rPr>
                              <w:t>l</w:t>
                            </w:r>
                            <w:r w:rsidRPr="007B7CB1">
                              <w:rPr>
                                <w:sz w:val="20"/>
                                <w:szCs w:val="20"/>
                              </w:rPr>
                              <w:t>epidolite</w:t>
                            </w:r>
                            <w:proofErr w:type="spellEnd"/>
                            <w:r w:rsidRPr="007B7CB1">
                              <w:rPr>
                                <w:sz w:val="20"/>
                                <w:szCs w:val="20"/>
                              </w:rPr>
                              <w:t xml:space="preserve">, </w:t>
                            </w:r>
                            <w:r>
                              <w:rPr>
                                <w:sz w:val="20"/>
                                <w:szCs w:val="20"/>
                              </w:rPr>
                              <w:t>m</w:t>
                            </w:r>
                            <w:r w:rsidRPr="007B7CB1">
                              <w:rPr>
                                <w:sz w:val="20"/>
                                <w:szCs w:val="20"/>
                              </w:rPr>
                              <w:t xml:space="preserve">uscovite, and </w:t>
                            </w:r>
                            <w:r>
                              <w:rPr>
                                <w:sz w:val="20"/>
                                <w:szCs w:val="20"/>
                              </w:rPr>
                              <w:t>q</w:t>
                            </w:r>
                            <w:r w:rsidRPr="007B7CB1">
                              <w:rPr>
                                <w:sz w:val="20"/>
                                <w:szCs w:val="20"/>
                              </w:rPr>
                              <w:t>uartz diffraction peaks</w:t>
                            </w:r>
                            <w:r>
                              <w:rPr>
                                <w:sz w:val="20"/>
                                <w:szCs w:val="20"/>
                              </w:rPr>
                              <w:t>, respectively.</w:t>
                            </w:r>
                          </w:p>
                        </w:txbxContent>
                      </v:textbox>
                      <w10:anchorlock/>
                    </v:shape>
                  </w:pict>
                </mc:Fallback>
              </mc:AlternateContent>
            </w:r>
          </w:p>
          <w:p w14:paraId="13083CBA" w14:textId="0CAFB8A4" w:rsidR="00C22787" w:rsidRDefault="00C22787" w:rsidP="00C22787">
            <w:pPr>
              <w:ind w:left="1422" w:right="1462"/>
              <w:jc w:val="both"/>
            </w:pPr>
          </w:p>
          <w:p w14:paraId="3487782E" w14:textId="3E0E6E42" w:rsidR="002E78BA" w:rsidRDefault="002E78BA" w:rsidP="00C22787">
            <w:pPr>
              <w:ind w:left="1422" w:right="1462"/>
              <w:jc w:val="both"/>
            </w:pPr>
            <w:r>
              <w:t xml:space="preserve">The regions with layered microstructures seen by SEM are a likely a mixture of </w:t>
            </w:r>
            <w:proofErr w:type="spellStart"/>
            <w:r>
              <w:t>l</w:t>
            </w:r>
            <w:r w:rsidRPr="001803C4">
              <w:t>epidolite</w:t>
            </w:r>
            <w:proofErr w:type="spellEnd"/>
            <w:r w:rsidRPr="001803C4">
              <w:t xml:space="preserve"> and muscovite</w:t>
            </w:r>
            <w:r>
              <w:t xml:space="preserve">, since </w:t>
            </w:r>
            <w:r w:rsidRPr="001803C4">
              <w:t xml:space="preserve">both </w:t>
            </w:r>
            <w:r>
              <w:t xml:space="preserve">materials are </w:t>
            </w:r>
            <w:r w:rsidRPr="001803C4">
              <w:t>layered phyllosilicate minerals in the mica family</w:t>
            </w:r>
            <w:r>
              <w:t xml:space="preserve"> and are known to intermix. The</w:t>
            </w:r>
            <w:r w:rsidRPr="001803C4">
              <w:t xml:space="preserve"> EDS measurements of the elemental composition show that it contains aluminum, fluorine, and manganese.  Manganese is responsible for the pink to purple color in </w:t>
            </w:r>
            <w:proofErr w:type="spellStart"/>
            <w:r w:rsidRPr="001803C4">
              <w:t>lepidolite</w:t>
            </w:r>
            <w:proofErr w:type="spellEnd"/>
            <w:r>
              <w:t>, which is consistent with the sample’s optical appearance</w:t>
            </w:r>
            <w:r w:rsidRPr="001803C4">
              <w:t xml:space="preserve">. </w:t>
            </w:r>
            <w:r>
              <w:t xml:space="preserve"> </w:t>
            </w:r>
            <w:r w:rsidRPr="001803C4">
              <w:t xml:space="preserve">Similarly, the smooth phase was identified as quartz </w:t>
            </w:r>
            <w:r>
              <w:t>from the EDS elemental composition measurement</w:t>
            </w:r>
            <w:r w:rsidRPr="001803C4">
              <w:t xml:space="preserve">.  Our findings are supported by geological </w:t>
            </w:r>
            <w:r>
              <w:t>observations</w:t>
            </w:r>
            <w:r w:rsidRPr="001803C4">
              <w:t xml:space="preserve"> </w:t>
            </w:r>
            <w:r>
              <w:t>of</w:t>
            </w:r>
            <w:r w:rsidRPr="001803C4">
              <w:t xml:space="preserve"> muscovite, </w:t>
            </w:r>
            <w:proofErr w:type="spellStart"/>
            <w:r w:rsidRPr="001803C4">
              <w:t>lepidolite</w:t>
            </w:r>
            <w:proofErr w:type="spellEnd"/>
            <w:r w:rsidRPr="001803C4">
              <w:t xml:space="preserve">, and quartz </w:t>
            </w:r>
            <w:r>
              <w:t>occurring together in granitic pegmatites</w:t>
            </w:r>
            <w:r w:rsidRPr="001803C4">
              <w:t>.</w:t>
            </w:r>
          </w:p>
          <w:p w14:paraId="4C1A39A1" w14:textId="77777777" w:rsidR="002E78BA" w:rsidRPr="001803C4" w:rsidRDefault="002E78BA" w:rsidP="00C22787">
            <w:pPr>
              <w:ind w:left="1422" w:right="1462"/>
              <w:jc w:val="both"/>
            </w:pPr>
          </w:p>
          <w:p w14:paraId="2521A2D1" w14:textId="77777777" w:rsidR="002E78BA" w:rsidRPr="00E44832" w:rsidRDefault="002E78BA" w:rsidP="00C22787">
            <w:pPr>
              <w:pStyle w:val="Caption"/>
              <w:keepNext/>
              <w:spacing w:after="0"/>
              <w:ind w:left="1422" w:right="1462"/>
              <w:jc w:val="center"/>
              <w:rPr>
                <w:i/>
                <w:iCs/>
                <w:szCs w:val="24"/>
              </w:rPr>
            </w:pPr>
            <w:r w:rsidRPr="00E44832">
              <w:rPr>
                <w:szCs w:val="24"/>
              </w:rPr>
              <w:t xml:space="preserve">Table 1 </w:t>
            </w:r>
            <w:r>
              <w:rPr>
                <w:szCs w:val="24"/>
              </w:rPr>
              <w:t>Possible</w:t>
            </w:r>
            <w:r w:rsidRPr="00E44832">
              <w:rPr>
                <w:szCs w:val="24"/>
              </w:rPr>
              <w:t xml:space="preserve"> Formulas of Phases Identified by XRD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66"/>
              <w:gridCol w:w="6088"/>
            </w:tblGrid>
            <w:tr w:rsidR="002E78BA" w:rsidRPr="001803C4" w14:paraId="2C42F661" w14:textId="77777777" w:rsidTr="0086078C">
              <w:trPr>
                <w:trHeight w:val="162"/>
                <w:jc w:val="center"/>
              </w:trPr>
              <w:tc>
                <w:tcPr>
                  <w:tcW w:w="0" w:type="auto"/>
                  <w:shd w:val="clear" w:color="auto" w:fill="auto"/>
                  <w:tcMar>
                    <w:top w:w="15" w:type="dxa"/>
                    <w:left w:w="81" w:type="dxa"/>
                    <w:bottom w:w="0" w:type="dxa"/>
                    <w:right w:w="81" w:type="dxa"/>
                  </w:tcMar>
                  <w:vAlign w:val="center"/>
                  <w:hideMark/>
                </w:tcPr>
                <w:p w14:paraId="166FF0CA" w14:textId="77777777" w:rsidR="002E78BA" w:rsidRPr="001803C4" w:rsidRDefault="002E78BA" w:rsidP="008022DE">
                  <w:pPr>
                    <w:framePr w:hSpace="180" w:wrap="around" w:vAnchor="text" w:hAnchor="text" w:xAlign="center" w:y="1"/>
                    <w:ind w:left="1422" w:right="1462"/>
                    <w:suppressOverlap/>
                    <w:jc w:val="both"/>
                  </w:pPr>
                  <w:r w:rsidRPr="001803C4">
                    <w:rPr>
                      <w:b/>
                      <w:bCs/>
                    </w:rPr>
                    <w:t>Phase name</w:t>
                  </w:r>
                </w:p>
              </w:tc>
              <w:tc>
                <w:tcPr>
                  <w:tcW w:w="5041" w:type="dxa"/>
                  <w:shd w:val="clear" w:color="auto" w:fill="auto"/>
                  <w:tcMar>
                    <w:top w:w="15" w:type="dxa"/>
                    <w:left w:w="81" w:type="dxa"/>
                    <w:bottom w:w="0" w:type="dxa"/>
                    <w:right w:w="81" w:type="dxa"/>
                  </w:tcMar>
                  <w:vAlign w:val="center"/>
                  <w:hideMark/>
                </w:tcPr>
                <w:p w14:paraId="5F752616" w14:textId="77777777" w:rsidR="002E78BA" w:rsidRPr="001803C4" w:rsidRDefault="002E78BA" w:rsidP="008022DE">
                  <w:pPr>
                    <w:framePr w:hSpace="180" w:wrap="around" w:vAnchor="text" w:hAnchor="text" w:xAlign="center" w:y="1"/>
                    <w:ind w:left="1422" w:right="1462"/>
                    <w:suppressOverlap/>
                    <w:jc w:val="both"/>
                  </w:pPr>
                  <w:r>
                    <w:rPr>
                      <w:b/>
                      <w:bCs/>
                    </w:rPr>
                    <w:t>Possible</w:t>
                  </w:r>
                  <w:r w:rsidRPr="001803C4">
                    <w:rPr>
                      <w:b/>
                      <w:bCs/>
                    </w:rPr>
                    <w:t xml:space="preserve"> Formula</w:t>
                  </w:r>
                </w:p>
              </w:tc>
            </w:tr>
            <w:tr w:rsidR="002E78BA" w:rsidRPr="001803C4" w14:paraId="66AC0DA7" w14:textId="77777777" w:rsidTr="0086078C">
              <w:trPr>
                <w:trHeight w:val="191"/>
                <w:jc w:val="center"/>
              </w:trPr>
              <w:tc>
                <w:tcPr>
                  <w:tcW w:w="0" w:type="auto"/>
                  <w:shd w:val="clear" w:color="auto" w:fill="auto"/>
                  <w:tcMar>
                    <w:top w:w="15" w:type="dxa"/>
                    <w:left w:w="15" w:type="dxa"/>
                    <w:bottom w:w="0" w:type="dxa"/>
                    <w:right w:w="15" w:type="dxa"/>
                  </w:tcMar>
                  <w:vAlign w:val="center"/>
                  <w:hideMark/>
                </w:tcPr>
                <w:p w14:paraId="1FF2BFA8" w14:textId="77777777" w:rsidR="002E78BA" w:rsidRPr="001803C4" w:rsidRDefault="002E78BA" w:rsidP="008022DE">
                  <w:pPr>
                    <w:framePr w:hSpace="180" w:wrap="around" w:vAnchor="text" w:hAnchor="text" w:xAlign="center" w:y="1"/>
                    <w:ind w:left="1422" w:right="1462"/>
                    <w:suppressOverlap/>
                    <w:jc w:val="both"/>
                  </w:pPr>
                  <w:r w:rsidRPr="001803C4">
                    <w:t>Muscovite</w:t>
                  </w:r>
                </w:p>
              </w:tc>
              <w:tc>
                <w:tcPr>
                  <w:tcW w:w="5041" w:type="dxa"/>
                  <w:shd w:val="clear" w:color="auto" w:fill="auto"/>
                  <w:tcMar>
                    <w:top w:w="15" w:type="dxa"/>
                    <w:left w:w="15" w:type="dxa"/>
                    <w:bottom w:w="0" w:type="dxa"/>
                    <w:right w:w="15" w:type="dxa"/>
                  </w:tcMar>
                  <w:vAlign w:val="center"/>
                  <w:hideMark/>
                </w:tcPr>
                <w:p w14:paraId="3EAF5065" w14:textId="77777777" w:rsidR="002E78BA" w:rsidRPr="001803C4" w:rsidRDefault="002E78BA" w:rsidP="008022DE">
                  <w:pPr>
                    <w:framePr w:hSpace="180" w:wrap="around" w:vAnchor="text" w:hAnchor="text" w:xAlign="center" w:y="1"/>
                    <w:ind w:left="1422" w:right="1462"/>
                    <w:suppressOverlap/>
                    <w:jc w:val="both"/>
                  </w:pPr>
                  <w:r w:rsidRPr="001803C4">
                    <w:t>KAl</w:t>
                  </w:r>
                  <w:r w:rsidRPr="001803C4">
                    <w:rPr>
                      <w:vertAlign w:val="subscript"/>
                    </w:rPr>
                    <w:t>3</w:t>
                  </w:r>
                  <w:r w:rsidRPr="001803C4">
                    <w:t>Si</w:t>
                  </w:r>
                  <w:r w:rsidRPr="001803C4">
                    <w:rPr>
                      <w:vertAlign w:val="subscript"/>
                    </w:rPr>
                    <w:t>3</w:t>
                  </w:r>
                  <w:r w:rsidRPr="001803C4">
                    <w:t>O</w:t>
                  </w:r>
                  <w:r w:rsidRPr="001803C4">
                    <w:rPr>
                      <w:vertAlign w:val="subscript"/>
                    </w:rPr>
                    <w:t>10</w:t>
                  </w:r>
                  <w:r w:rsidRPr="001803C4">
                    <w:t>(OH)</w:t>
                  </w:r>
                  <w:r w:rsidRPr="001803C4">
                    <w:rPr>
                      <w:vertAlign w:val="subscript"/>
                    </w:rPr>
                    <w:t>2</w:t>
                  </w:r>
                </w:p>
              </w:tc>
            </w:tr>
            <w:tr w:rsidR="002E78BA" w:rsidRPr="001803C4" w14:paraId="26E46D4D" w14:textId="77777777" w:rsidTr="0086078C">
              <w:trPr>
                <w:trHeight w:val="191"/>
                <w:jc w:val="center"/>
              </w:trPr>
              <w:tc>
                <w:tcPr>
                  <w:tcW w:w="0" w:type="auto"/>
                  <w:shd w:val="clear" w:color="auto" w:fill="auto"/>
                  <w:tcMar>
                    <w:top w:w="15" w:type="dxa"/>
                    <w:left w:w="15" w:type="dxa"/>
                    <w:bottom w:w="0" w:type="dxa"/>
                    <w:right w:w="15" w:type="dxa"/>
                  </w:tcMar>
                  <w:vAlign w:val="center"/>
                  <w:hideMark/>
                </w:tcPr>
                <w:p w14:paraId="7194AD23" w14:textId="77777777" w:rsidR="002E78BA" w:rsidRPr="001803C4" w:rsidRDefault="002E78BA" w:rsidP="008022DE">
                  <w:pPr>
                    <w:framePr w:hSpace="180" w:wrap="around" w:vAnchor="text" w:hAnchor="text" w:xAlign="center" w:y="1"/>
                    <w:ind w:left="1422" w:right="1462"/>
                    <w:suppressOverlap/>
                    <w:jc w:val="both"/>
                  </w:pPr>
                  <w:proofErr w:type="spellStart"/>
                  <w:r w:rsidRPr="001803C4">
                    <w:t>Lepidolite</w:t>
                  </w:r>
                  <w:proofErr w:type="spellEnd"/>
                </w:p>
              </w:tc>
              <w:tc>
                <w:tcPr>
                  <w:tcW w:w="5041" w:type="dxa"/>
                  <w:shd w:val="clear" w:color="auto" w:fill="auto"/>
                  <w:tcMar>
                    <w:top w:w="15" w:type="dxa"/>
                    <w:left w:w="15" w:type="dxa"/>
                    <w:bottom w:w="0" w:type="dxa"/>
                    <w:right w:w="15" w:type="dxa"/>
                  </w:tcMar>
                  <w:vAlign w:val="center"/>
                  <w:hideMark/>
                </w:tcPr>
                <w:p w14:paraId="6FC30003" w14:textId="77777777" w:rsidR="002E78BA" w:rsidRPr="001803C4" w:rsidRDefault="002E78BA" w:rsidP="008022DE">
                  <w:pPr>
                    <w:framePr w:hSpace="180" w:wrap="around" w:vAnchor="text" w:hAnchor="text" w:xAlign="center" w:y="1"/>
                    <w:ind w:left="1422" w:right="1462"/>
                    <w:suppressOverlap/>
                    <w:jc w:val="both"/>
                  </w:pPr>
                  <w:r w:rsidRPr="001803C4">
                    <w:t>K(</w:t>
                  </w:r>
                  <w:proofErr w:type="spellStart"/>
                  <w:r w:rsidRPr="001803C4">
                    <w:t>Li,Al</w:t>
                  </w:r>
                  <w:proofErr w:type="spellEnd"/>
                  <w:r w:rsidRPr="001803C4">
                    <w:t>)</w:t>
                  </w:r>
                  <w:r w:rsidRPr="001803C4">
                    <w:rPr>
                      <w:vertAlign w:val="subscript"/>
                    </w:rPr>
                    <w:t>3</w:t>
                  </w:r>
                  <w:r w:rsidRPr="001803C4">
                    <w:t>(</w:t>
                  </w:r>
                  <w:proofErr w:type="spellStart"/>
                  <w:r w:rsidRPr="001803C4">
                    <w:t>Si,Al,Mn</w:t>
                  </w:r>
                  <w:proofErr w:type="spellEnd"/>
                  <w:r w:rsidRPr="001803C4">
                    <w:t>)</w:t>
                  </w:r>
                  <w:r w:rsidRPr="001803C4">
                    <w:rPr>
                      <w:vertAlign w:val="subscript"/>
                    </w:rPr>
                    <w:t>4</w:t>
                  </w:r>
                  <w:r w:rsidRPr="001803C4">
                    <w:t>O</w:t>
                  </w:r>
                  <w:r w:rsidRPr="001803C4">
                    <w:rPr>
                      <w:vertAlign w:val="subscript"/>
                    </w:rPr>
                    <w:t>10</w:t>
                  </w:r>
                  <w:r w:rsidRPr="001803C4">
                    <w:t>(F,OH)</w:t>
                  </w:r>
                  <w:r w:rsidRPr="001803C4">
                    <w:rPr>
                      <w:vertAlign w:val="subscript"/>
                    </w:rPr>
                    <w:t>2</w:t>
                  </w:r>
                </w:p>
              </w:tc>
            </w:tr>
            <w:tr w:rsidR="002E78BA" w:rsidRPr="001803C4" w14:paraId="03F46DBD" w14:textId="77777777" w:rsidTr="0086078C">
              <w:trPr>
                <w:trHeight w:val="191"/>
                <w:jc w:val="center"/>
              </w:trPr>
              <w:tc>
                <w:tcPr>
                  <w:tcW w:w="0" w:type="auto"/>
                  <w:shd w:val="clear" w:color="auto" w:fill="auto"/>
                  <w:tcMar>
                    <w:top w:w="15" w:type="dxa"/>
                    <w:left w:w="15" w:type="dxa"/>
                    <w:bottom w:w="0" w:type="dxa"/>
                    <w:right w:w="15" w:type="dxa"/>
                  </w:tcMar>
                  <w:vAlign w:val="center"/>
                  <w:hideMark/>
                </w:tcPr>
                <w:p w14:paraId="2441E057" w14:textId="77777777" w:rsidR="002E78BA" w:rsidRPr="001803C4" w:rsidRDefault="002E78BA" w:rsidP="008022DE">
                  <w:pPr>
                    <w:framePr w:hSpace="180" w:wrap="around" w:vAnchor="text" w:hAnchor="text" w:xAlign="center" w:y="1"/>
                    <w:ind w:left="1422" w:right="1462"/>
                    <w:suppressOverlap/>
                    <w:jc w:val="both"/>
                  </w:pPr>
                  <w:r w:rsidRPr="001803C4">
                    <w:t>Quartz</w:t>
                  </w:r>
                </w:p>
              </w:tc>
              <w:tc>
                <w:tcPr>
                  <w:tcW w:w="5041" w:type="dxa"/>
                  <w:shd w:val="clear" w:color="auto" w:fill="auto"/>
                  <w:tcMar>
                    <w:top w:w="15" w:type="dxa"/>
                    <w:left w:w="15" w:type="dxa"/>
                    <w:bottom w:w="0" w:type="dxa"/>
                    <w:right w:w="15" w:type="dxa"/>
                  </w:tcMar>
                  <w:vAlign w:val="center"/>
                  <w:hideMark/>
                </w:tcPr>
                <w:p w14:paraId="0E483A62" w14:textId="77777777" w:rsidR="002E78BA" w:rsidRPr="001803C4" w:rsidRDefault="002E78BA" w:rsidP="008022DE">
                  <w:pPr>
                    <w:framePr w:hSpace="180" w:wrap="around" w:vAnchor="text" w:hAnchor="text" w:xAlign="center" w:y="1"/>
                    <w:ind w:left="1422" w:right="1462"/>
                    <w:suppressOverlap/>
                    <w:jc w:val="both"/>
                  </w:pPr>
                  <w:r w:rsidRPr="001803C4">
                    <w:t>SiO</w:t>
                  </w:r>
                  <w:r w:rsidRPr="001803C4">
                    <w:rPr>
                      <w:vertAlign w:val="subscript"/>
                    </w:rPr>
                    <w:t>2</w:t>
                  </w:r>
                </w:p>
              </w:tc>
            </w:tr>
          </w:tbl>
          <w:p w14:paraId="53229E9C" w14:textId="77777777" w:rsidR="002E78BA" w:rsidRPr="001803C4" w:rsidRDefault="002E78BA" w:rsidP="00C22787">
            <w:pPr>
              <w:spacing w:before="240"/>
              <w:ind w:left="1422" w:right="1462"/>
              <w:jc w:val="both"/>
            </w:pPr>
            <w:r>
              <w:t xml:space="preserve">As demonstrated with this geological sample, the combined analysis using XRD, SEM, and EDS can provide a much more complete understanding of a material than any one technique could alone.  </w:t>
            </w:r>
          </w:p>
          <w:p w14:paraId="7436FF6E" w14:textId="77777777" w:rsidR="00257A36" w:rsidRDefault="00257A36" w:rsidP="006F73C8">
            <w:pPr>
              <w:ind w:left="1422" w:right="1462"/>
              <w:jc w:val="both"/>
            </w:pPr>
          </w:p>
          <w:p w14:paraId="25479E2F" w14:textId="4A2F303A" w:rsidR="00D30A84" w:rsidRDefault="00257A36" w:rsidP="00257A36">
            <w:pPr>
              <w:ind w:left="1440" w:right="1440"/>
            </w:pPr>
            <w:r>
              <w:rPr>
                <w:noProof/>
              </w:rPr>
              <w:t xml:space="preserve"> </w:t>
            </w:r>
            <w:r w:rsidR="00926266">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6"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proofErr w:type="spellStart"/>
            <w:r>
              <w:rPr>
                <w:rFonts w:ascii="Arial" w:hAnsi="Arial" w:cs="Arial"/>
                <w:sz w:val="20"/>
                <w:szCs w:val="20"/>
              </w:rPr>
              <w:t>Ebatco</w:t>
            </w:r>
            <w:proofErr w:type="spellEnd"/>
            <w:r>
              <w:rPr>
                <w:rFonts w:ascii="Arial" w:hAnsi="Arial" w:cs="Arial"/>
                <w:sz w:val="20"/>
                <w:szCs w:val="20"/>
              </w:rPr>
              <w:t xml:space="preserve">,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17"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18" w:history="1">
              <w:r w:rsidRPr="00B97A2B">
                <w:rPr>
                  <w:rStyle w:val="Hyperlink"/>
                  <w:rFonts w:ascii="Arial" w:hAnsi="Arial" w:cs="Arial"/>
                  <w:sz w:val="20"/>
                  <w:szCs w:val="20"/>
                </w:rPr>
                <w:t>www.ebatco.com</w:t>
              </w:r>
            </w:hyperlink>
          </w:p>
        </w:tc>
      </w:tr>
      <w:bookmarkEnd w:id="0"/>
      <w:tr w:rsidR="00D30A84" w14:paraId="19E7157F" w14:textId="77777777" w:rsidTr="008022DE">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5">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CE2"/>
    <w:rsid w:val="001008DD"/>
    <w:rsid w:val="00101072"/>
    <w:rsid w:val="0010129A"/>
    <w:rsid w:val="00101652"/>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4884"/>
    <w:rsid w:val="00165C0F"/>
    <w:rsid w:val="001675AE"/>
    <w:rsid w:val="00170DA4"/>
    <w:rsid w:val="001720A4"/>
    <w:rsid w:val="001727D0"/>
    <w:rsid w:val="0017399F"/>
    <w:rsid w:val="001747B7"/>
    <w:rsid w:val="00174D2F"/>
    <w:rsid w:val="001750B1"/>
    <w:rsid w:val="001764C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56B"/>
    <w:rsid w:val="001B2783"/>
    <w:rsid w:val="001B41BD"/>
    <w:rsid w:val="001B4724"/>
    <w:rsid w:val="001B74D7"/>
    <w:rsid w:val="001B790A"/>
    <w:rsid w:val="001C0664"/>
    <w:rsid w:val="001C09AC"/>
    <w:rsid w:val="001C30A8"/>
    <w:rsid w:val="001C36A4"/>
    <w:rsid w:val="001C41AC"/>
    <w:rsid w:val="001C5380"/>
    <w:rsid w:val="001C6881"/>
    <w:rsid w:val="001C759F"/>
    <w:rsid w:val="001C7782"/>
    <w:rsid w:val="001D0036"/>
    <w:rsid w:val="001D01E7"/>
    <w:rsid w:val="001D113A"/>
    <w:rsid w:val="001D4234"/>
    <w:rsid w:val="001D4A5B"/>
    <w:rsid w:val="001D5485"/>
    <w:rsid w:val="001D5E34"/>
    <w:rsid w:val="001D69AB"/>
    <w:rsid w:val="001E01D6"/>
    <w:rsid w:val="001E4001"/>
    <w:rsid w:val="001E4129"/>
    <w:rsid w:val="001E6221"/>
    <w:rsid w:val="001F00CF"/>
    <w:rsid w:val="001F1ADA"/>
    <w:rsid w:val="001F2996"/>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18C6"/>
    <w:rsid w:val="003848C5"/>
    <w:rsid w:val="003869F0"/>
    <w:rsid w:val="003870D9"/>
    <w:rsid w:val="00393050"/>
    <w:rsid w:val="0039353A"/>
    <w:rsid w:val="00393A9C"/>
    <w:rsid w:val="00393FFE"/>
    <w:rsid w:val="00394287"/>
    <w:rsid w:val="00397066"/>
    <w:rsid w:val="0039785F"/>
    <w:rsid w:val="00397B89"/>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7384"/>
    <w:rsid w:val="004407CF"/>
    <w:rsid w:val="0044089B"/>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4AF7"/>
    <w:rsid w:val="004A69B7"/>
    <w:rsid w:val="004A7F45"/>
    <w:rsid w:val="004B17AD"/>
    <w:rsid w:val="004B1AA5"/>
    <w:rsid w:val="004B60ED"/>
    <w:rsid w:val="004C13C9"/>
    <w:rsid w:val="004C3D8B"/>
    <w:rsid w:val="004C6D7A"/>
    <w:rsid w:val="004C7432"/>
    <w:rsid w:val="004C7D2B"/>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72B8"/>
    <w:rsid w:val="00507F24"/>
    <w:rsid w:val="00511131"/>
    <w:rsid w:val="00512238"/>
    <w:rsid w:val="00513BBE"/>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51E00"/>
    <w:rsid w:val="00555D24"/>
    <w:rsid w:val="00557DF1"/>
    <w:rsid w:val="00557E54"/>
    <w:rsid w:val="005602F4"/>
    <w:rsid w:val="0056113A"/>
    <w:rsid w:val="005627C0"/>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C66"/>
    <w:rsid w:val="006F6BBE"/>
    <w:rsid w:val="006F73C8"/>
    <w:rsid w:val="007022C3"/>
    <w:rsid w:val="00702C4F"/>
    <w:rsid w:val="00702DC1"/>
    <w:rsid w:val="0070352E"/>
    <w:rsid w:val="00704058"/>
    <w:rsid w:val="00705E8B"/>
    <w:rsid w:val="0071024C"/>
    <w:rsid w:val="007126D3"/>
    <w:rsid w:val="00713C9F"/>
    <w:rsid w:val="00715A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B5F"/>
    <w:rsid w:val="007C7FE4"/>
    <w:rsid w:val="007D04B0"/>
    <w:rsid w:val="007D1B1D"/>
    <w:rsid w:val="007D3B04"/>
    <w:rsid w:val="007D3B9F"/>
    <w:rsid w:val="007D3C14"/>
    <w:rsid w:val="007D569A"/>
    <w:rsid w:val="007D7C76"/>
    <w:rsid w:val="007E085B"/>
    <w:rsid w:val="007E09AF"/>
    <w:rsid w:val="007E2690"/>
    <w:rsid w:val="007E2BD8"/>
    <w:rsid w:val="007E3BCB"/>
    <w:rsid w:val="007E672B"/>
    <w:rsid w:val="007E74C9"/>
    <w:rsid w:val="007F0211"/>
    <w:rsid w:val="007F03D0"/>
    <w:rsid w:val="007F05EB"/>
    <w:rsid w:val="007F0625"/>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4FD0"/>
    <w:rsid w:val="008354B9"/>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56CB"/>
    <w:rsid w:val="008969C1"/>
    <w:rsid w:val="008A00CD"/>
    <w:rsid w:val="008A1EE0"/>
    <w:rsid w:val="008A21E5"/>
    <w:rsid w:val="008A2472"/>
    <w:rsid w:val="008A50A3"/>
    <w:rsid w:val="008A5511"/>
    <w:rsid w:val="008A60D0"/>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2627"/>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B01DB"/>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20300"/>
    <w:rsid w:val="00A207FF"/>
    <w:rsid w:val="00A211AA"/>
    <w:rsid w:val="00A2217F"/>
    <w:rsid w:val="00A252A2"/>
    <w:rsid w:val="00A26379"/>
    <w:rsid w:val="00A26959"/>
    <w:rsid w:val="00A26CEC"/>
    <w:rsid w:val="00A27C44"/>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B21"/>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7A32"/>
    <w:rsid w:val="00BD22FC"/>
    <w:rsid w:val="00BD28E8"/>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58EE"/>
    <w:rsid w:val="00C65D63"/>
    <w:rsid w:val="00C65E9F"/>
    <w:rsid w:val="00C66A26"/>
    <w:rsid w:val="00C67B60"/>
    <w:rsid w:val="00C710E0"/>
    <w:rsid w:val="00C71555"/>
    <w:rsid w:val="00C719A7"/>
    <w:rsid w:val="00C738C4"/>
    <w:rsid w:val="00C742CE"/>
    <w:rsid w:val="00C75C01"/>
    <w:rsid w:val="00C76DBB"/>
    <w:rsid w:val="00C779CD"/>
    <w:rsid w:val="00C8136C"/>
    <w:rsid w:val="00C82B32"/>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7FD6"/>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23D8"/>
    <w:rsid w:val="00E12AFB"/>
    <w:rsid w:val="00E1381A"/>
    <w:rsid w:val="00E14AAE"/>
    <w:rsid w:val="00E155AD"/>
    <w:rsid w:val="00E164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E94"/>
    <w:rsid w:val="00EB2F4A"/>
    <w:rsid w:val="00EB2F4F"/>
    <w:rsid w:val="00EB4B8A"/>
    <w:rsid w:val="00EB6F39"/>
    <w:rsid w:val="00EB7A60"/>
    <w:rsid w:val="00EC13B8"/>
    <w:rsid w:val="00EC21D2"/>
    <w:rsid w:val="00EC32F0"/>
    <w:rsid w:val="00EC3BDF"/>
    <w:rsid w:val="00EC3F02"/>
    <w:rsid w:val="00EC5A2E"/>
    <w:rsid w:val="00EC6350"/>
    <w:rsid w:val="00EC7973"/>
    <w:rsid w:val="00EC7A1A"/>
    <w:rsid w:val="00ED0537"/>
    <w:rsid w:val="00ED0F5A"/>
    <w:rsid w:val="00ED17C1"/>
    <w:rsid w:val="00ED23FB"/>
    <w:rsid w:val="00ED2748"/>
    <w:rsid w:val="00ED4373"/>
    <w:rsid w:val="00ED5027"/>
    <w:rsid w:val="00ED5D9D"/>
    <w:rsid w:val="00ED5E06"/>
    <w:rsid w:val="00ED7DA5"/>
    <w:rsid w:val="00EE0682"/>
    <w:rsid w:val="00EE0FEB"/>
    <w:rsid w:val="00EE29E1"/>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26C6"/>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47F2"/>
    <w:rsid w:val="00F57522"/>
    <w:rsid w:val="00F61287"/>
    <w:rsid w:val="00F61618"/>
    <w:rsid w:val="00F61B04"/>
    <w:rsid w:val="00F621C5"/>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E29"/>
    <w:rsid w:val="00FB0946"/>
    <w:rsid w:val="00FB3279"/>
    <w:rsid w:val="00FB3519"/>
    <w:rsid w:val="00FB708A"/>
    <w:rsid w:val="00FC08C3"/>
    <w:rsid w:val="00FC19E4"/>
    <w:rsid w:val="00FC1E0A"/>
    <w:rsid w:val="00FC260C"/>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g"/><Relationship Id="rId18" Type="http://schemas.openxmlformats.org/officeDocument/2006/relationships/hyperlink" Target="http://www.ebatco.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hyperlink" Target="mailto:info@ebatco.com" TargetMode="External"/><Relationship Id="rId2" Type="http://schemas.openxmlformats.org/officeDocument/2006/relationships/styles" Target="styles.xml"/><Relationship Id="rId16" Type="http://schemas.openxmlformats.org/officeDocument/2006/relationships/hyperlink" Target="mailto:info@ebatco.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newsletter trial</Template>
  <TotalTime>2195</TotalTime>
  <Pages>3</Pages>
  <Words>853</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6030</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16</cp:revision>
  <cp:lastPrinted>2011-11-29T15:28:00Z</cp:lastPrinted>
  <dcterms:created xsi:type="dcterms:W3CDTF">2019-10-18T14:22:00Z</dcterms:created>
  <dcterms:modified xsi:type="dcterms:W3CDTF">2019-10-23T22:17:00Z</dcterms:modified>
</cp:coreProperties>
</file>