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106A8" w14:textId="77777777" w:rsidR="00D30A84" w:rsidRDefault="00D30A84">
      <w:bookmarkStart w:id="0" w:name="_GoBack"/>
      <w:bookmarkEnd w:id="0"/>
    </w:p>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C8241A">
        <w:trPr>
          <w:trHeight w:val="570"/>
        </w:trPr>
        <w:tc>
          <w:tcPr>
            <w:tcW w:w="16150" w:type="dxa"/>
            <w:vAlign w:val="center"/>
          </w:tcPr>
          <w:p w14:paraId="31194E92" w14:textId="03B96409" w:rsidR="00D30A84" w:rsidRDefault="00D30A84" w:rsidP="00B80786">
            <w:pPr>
              <w:jc w:val="center"/>
              <w:rPr>
                <w:rFonts w:ascii="Arial" w:hAnsi="Arial" w:cs="Arial"/>
                <w:b/>
                <w:sz w:val="20"/>
                <w:szCs w:val="20"/>
              </w:rPr>
            </w:pPr>
          </w:p>
          <w:p w14:paraId="32E81453" w14:textId="71A3D620" w:rsidR="00D30A84" w:rsidRDefault="00F81483"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355A8016" wp14:editId="67E13C45">
                  <wp:extent cx="8228571" cy="914286"/>
                  <wp:effectExtent l="0" t="0" r="127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2022 Sept-Oct.png"/>
                          <pic:cNvPicPr/>
                        </pic:nvPicPr>
                        <pic:blipFill>
                          <a:blip r:embed="rId6">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5pt" o:ole="">
                  <v:imagedata r:id="rId7" o:title=""/>
                </v:shape>
                <o:OLEObject Type="Embed" ProgID="PBrush" ShapeID="_x0000_i1025" DrawAspect="Content" ObjectID="_1728884767" r:id="rId8"/>
              </w:object>
            </w:r>
          </w:p>
          <w:p w14:paraId="29A0493E" w14:textId="77777777" w:rsidR="00363991" w:rsidRDefault="00363991" w:rsidP="003C2791">
            <w:pPr>
              <w:ind w:left="1440" w:right="1440"/>
              <w:jc w:val="both"/>
              <w:rPr>
                <w:color w:val="000000"/>
                <w:lang w:val="en"/>
              </w:rPr>
            </w:pPr>
          </w:p>
          <w:p w14:paraId="4BFCA6EA" w14:textId="353B90CA" w:rsidR="00880763" w:rsidRDefault="00933129" w:rsidP="008E71B0">
            <w:pPr>
              <w:ind w:left="1440" w:right="1440"/>
              <w:jc w:val="both"/>
              <w:rPr>
                <w:color w:val="000000"/>
                <w:lang w:val="en"/>
              </w:rPr>
            </w:pPr>
            <w:r w:rsidRPr="00933129">
              <w:rPr>
                <w:color w:val="000000"/>
                <w:lang w:val="en"/>
              </w:rPr>
              <w:t>Scientists from the University of Illinois Urbana-Champaign, University of California, Santa Barbara, and Dow have developed a breakthrough process to transform the most widely produced plastic — polyethylene (PE) — into the second-most widely produced plastic, polypropylene (PP), which could reduce greenhouse gas emissions (GHG).</w:t>
            </w:r>
            <w:r w:rsidR="00BA39A0">
              <w:rPr>
                <w:color w:val="000000"/>
                <w:lang w:val="en"/>
              </w:rPr>
              <w:t xml:space="preserve"> </w:t>
            </w:r>
            <w:hyperlink r:id="rId9" w:history="1">
              <w:r w:rsidR="00BA39A0" w:rsidRPr="006F7552">
                <w:rPr>
                  <w:rStyle w:val="Hyperlink"/>
                  <w:lang w:val="en"/>
                </w:rPr>
                <w:t>https://chbe.illinois.edu/news/stories/plastic-upcycling-JACS-2022</w:t>
              </w:r>
            </w:hyperlink>
          </w:p>
          <w:p w14:paraId="6D5D32B8" w14:textId="77777777" w:rsidR="00BA39A0" w:rsidRDefault="00BA39A0" w:rsidP="008E71B0">
            <w:pPr>
              <w:ind w:left="1440" w:right="1440"/>
              <w:jc w:val="both"/>
              <w:rPr>
                <w:color w:val="000000"/>
                <w:lang w:val="en"/>
              </w:rPr>
            </w:pPr>
          </w:p>
          <w:p w14:paraId="492E725E" w14:textId="3981769E" w:rsidR="00BA39A0" w:rsidRDefault="000C2875" w:rsidP="000C2875">
            <w:pPr>
              <w:ind w:left="1440" w:right="1440"/>
              <w:jc w:val="both"/>
              <w:rPr>
                <w:color w:val="000000"/>
                <w:lang w:val="en"/>
              </w:rPr>
            </w:pPr>
            <w:r w:rsidRPr="000C2875">
              <w:rPr>
                <w:color w:val="000000"/>
                <w:lang w:val="en"/>
              </w:rPr>
              <w:t>One class of methods for studying neural circuits is called voltage imaging. These techniques allow us to see the voltage generated by our brain’s firing neurons – telling us how networks of neurons develop, function and change over time.</w:t>
            </w:r>
            <w:r>
              <w:rPr>
                <w:color w:val="000000"/>
                <w:lang w:val="en"/>
              </w:rPr>
              <w:t xml:space="preserve"> R</w:t>
            </w:r>
            <w:r w:rsidRPr="000C2875">
              <w:rPr>
                <w:color w:val="000000"/>
                <w:lang w:val="en"/>
              </w:rPr>
              <w:t>ecent research published in Nature Photonics, explores a new type of a high speed, high resolution and scalable voltage imaging platform created with the aim of overcoming these limitations – a diamond voltage imaging microscope.</w:t>
            </w:r>
            <w:r>
              <w:rPr>
                <w:color w:val="000000"/>
                <w:lang w:val="en"/>
              </w:rPr>
              <w:t xml:space="preserve"> </w:t>
            </w:r>
            <w:hyperlink r:id="rId10" w:history="1">
              <w:r w:rsidRPr="006F7552">
                <w:rPr>
                  <w:rStyle w:val="Hyperlink"/>
                  <w:lang w:val="en"/>
                </w:rPr>
                <w:t>https://pursuit.unimelb.edu.au/articles/diamonds-reveal-neural-secrets</w:t>
              </w:r>
            </w:hyperlink>
          </w:p>
          <w:p w14:paraId="5F915FC1" w14:textId="77777777" w:rsidR="000C2875" w:rsidRDefault="000C2875" w:rsidP="000C2875">
            <w:pPr>
              <w:ind w:left="1440" w:right="1440"/>
              <w:jc w:val="both"/>
              <w:rPr>
                <w:color w:val="000000"/>
                <w:lang w:val="en"/>
              </w:rPr>
            </w:pPr>
          </w:p>
          <w:p w14:paraId="3747552D" w14:textId="23955302" w:rsidR="00D30A84" w:rsidRDefault="00D30A84" w:rsidP="00A0169B">
            <w:pPr>
              <w:ind w:left="1440" w:right="1440"/>
              <w:jc w:val="both"/>
            </w:pPr>
            <w:proofErr w:type="spellStart"/>
            <w:r w:rsidRPr="00CC247A">
              <w:rPr>
                <w:b/>
              </w:rPr>
              <w:t>Ebatco</w:t>
            </w:r>
            <w:proofErr w:type="spellEnd"/>
            <w:r w:rsidRPr="00CC247A">
              <w:rPr>
                <w:b/>
              </w:rPr>
              <w:t xml:space="preserve"> </w:t>
            </w:r>
            <w:r w:rsidRPr="00647061">
              <w:object w:dxaOrig="6375" w:dyaOrig="45" w14:anchorId="4A3DFDC4">
                <v:shape id="_x0000_i1026" type="#_x0000_t75" style="width:318.75pt;height:1.5pt" o:ole="">
                  <v:imagedata r:id="rId11" o:title=""/>
                </v:shape>
                <o:OLEObject Type="Embed" ProgID="PBrush" ShapeID="_x0000_i1026" DrawAspect="Content" ObjectID="_1728884768" r:id="rId12"/>
              </w:object>
            </w:r>
          </w:p>
          <w:p w14:paraId="30C5D30B" w14:textId="183B4CA3" w:rsidR="008405F9" w:rsidRDefault="008405F9" w:rsidP="00501CF5">
            <w:pPr>
              <w:ind w:right="1462"/>
              <w:jc w:val="both"/>
            </w:pPr>
          </w:p>
          <w:p w14:paraId="5724AD0D" w14:textId="0453BD99" w:rsidR="00C72536" w:rsidRDefault="00C8241A" w:rsidP="009A7870">
            <w:pPr>
              <w:ind w:left="1422" w:right="1462"/>
              <w:jc w:val="both"/>
            </w:pPr>
            <w:r>
              <w:t>To further</w:t>
            </w:r>
            <w:r w:rsidR="005E5E32">
              <w:t xml:space="preserve"> expand our ability to analyze samples for chemical analysis, </w:t>
            </w:r>
            <w:r>
              <w:t>especially for trace element analysis using ICP-OES (Inductively</w:t>
            </w:r>
            <w:r w:rsidRPr="00C8241A">
              <w:t xml:space="preserve"> Coupled Plasma Optical Emission Spectroscopy</w:t>
            </w:r>
            <w:r>
              <w:t xml:space="preserve">) </w:t>
            </w:r>
            <w:r w:rsidR="005E5E32">
              <w:t xml:space="preserve">Ebatco has recently acquired a microwave digestion system. The </w:t>
            </w:r>
            <w:r w:rsidR="008E020A">
              <w:t xml:space="preserve">ETHOS UP </w:t>
            </w:r>
            <w:r>
              <w:t>High</w:t>
            </w:r>
            <w:r w:rsidR="006F16A8">
              <w:t xml:space="preserve"> </w:t>
            </w:r>
            <w:r>
              <w:t>Performance</w:t>
            </w:r>
            <w:r w:rsidR="008E020A">
              <w:t xml:space="preserve"> Microwave Digestion System</w:t>
            </w:r>
            <w:r w:rsidR="005E5E32">
              <w:t xml:space="preserve"> manufactured by </w:t>
            </w:r>
            <w:r w:rsidR="008E020A">
              <w:t>Milestone</w:t>
            </w:r>
            <w:r w:rsidR="005E5E32">
              <w:t xml:space="preserve"> is capable of degrading regular molecules into its basic components in a matter of minutes</w:t>
            </w:r>
            <w:r>
              <w:t xml:space="preserve"> w</w:t>
            </w:r>
            <w:r w:rsidRPr="00C8241A">
              <w:t xml:space="preserve">ith </w:t>
            </w:r>
            <w:r>
              <w:t xml:space="preserve">help of </w:t>
            </w:r>
            <w:r w:rsidRPr="00C8241A">
              <w:t>a max temperature of 240 C and 100 bar pressure</w:t>
            </w:r>
            <w:r w:rsidR="005E5E32">
              <w:t xml:space="preserve">. </w:t>
            </w:r>
            <w:r>
              <w:t xml:space="preserve"> </w:t>
            </w:r>
            <w:r w:rsidR="005E5E32">
              <w:t>The system comes with hundreds of recipes for digesting a variety of samples</w:t>
            </w:r>
            <w:r>
              <w:t xml:space="preserve"> and it can process samples</w:t>
            </w:r>
            <w:r w:rsidR="00841E36">
              <w:t xml:space="preserve"> in each of 8 vessels</w:t>
            </w:r>
            <w:r>
              <w:t xml:space="preserve"> simultaneously.</w:t>
            </w:r>
          </w:p>
          <w:p w14:paraId="7FCBCFB9" w14:textId="77777777" w:rsidR="00131CD6" w:rsidRDefault="00131CD6" w:rsidP="009A7870">
            <w:pPr>
              <w:ind w:left="1422" w:right="1462"/>
              <w:jc w:val="both"/>
            </w:pPr>
          </w:p>
          <w:p w14:paraId="48ECE9C9" w14:textId="5881ABA0" w:rsidR="00131CD6" w:rsidRDefault="00131CD6" w:rsidP="00131CD6">
            <w:pPr>
              <w:ind w:left="1422" w:right="1462"/>
              <w:jc w:val="center"/>
            </w:pPr>
            <w:r>
              <w:rPr>
                <w:noProof/>
              </w:rPr>
              <w:drawing>
                <wp:inline distT="0" distB="0" distL="0" distR="0" wp14:anchorId="50B2C87C" wp14:editId="777FCC7A">
                  <wp:extent cx="2468880" cy="3291840"/>
                  <wp:effectExtent l="0" t="0" r="7620" b="3810"/>
                  <wp:docPr id="1" name="Picture 1" descr="C:\Users\James Schroder\AppData\Local\Microsoft\Windows\INetCache\Content.Word\micro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 Schroder\AppData\Local\Microsoft\Windows\INetCache\Content.Word\microwav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3012B786" w14:textId="44EDD331" w:rsidR="009A7870" w:rsidRDefault="00131CD6" w:rsidP="00131CD6">
            <w:pPr>
              <w:ind w:left="1422" w:right="1462"/>
              <w:jc w:val="center"/>
            </w:pPr>
            <w:r>
              <w:t>The  ETHOS UP High Performance Microwave Digestion System</w:t>
            </w:r>
          </w:p>
          <w:p w14:paraId="34B7051A" w14:textId="77777777" w:rsidR="009A7870" w:rsidRDefault="009A7870" w:rsidP="009A7870">
            <w:pPr>
              <w:ind w:left="1422" w:right="1462"/>
              <w:jc w:val="center"/>
            </w:pP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5E5737E0" w14:textId="6D5A5D9B" w:rsidR="001C123C" w:rsidRPr="00C648E9" w:rsidRDefault="005E5E32" w:rsidP="00FA7A87">
            <w:pPr>
              <w:keepNext/>
              <w:spacing w:before="240" w:line="276" w:lineRule="auto"/>
              <w:ind w:left="1422" w:right="1462"/>
              <w:jc w:val="center"/>
              <w:rPr>
                <w:b/>
                <w:sz w:val="28"/>
                <w:szCs w:val="28"/>
              </w:rPr>
            </w:pPr>
            <w:r>
              <w:rPr>
                <w:b/>
              </w:rPr>
              <w:t>Density and Surface Tension of Printer Ink</w:t>
            </w:r>
          </w:p>
          <w:p w14:paraId="63B0E770" w14:textId="77777777" w:rsidR="005E5E32" w:rsidRDefault="005E5E32" w:rsidP="005E5E32">
            <w:pPr>
              <w:ind w:left="1422" w:right="1462"/>
              <w:jc w:val="both"/>
            </w:pPr>
            <w:r>
              <w:t xml:space="preserve">Inkjet printers can produce high quality pictures in a short amount of time. One important aspect to the print quality is the surface tension of the inks. Controlling the surface tension of the inks can help to improve their surface wetting properties to the printing media. One method to determine the surface tension of a liquid is the so-called Pendant Drop method. For surface tension measurements using the Pendant Drop method, a single droplet is suspended in air from a needle tip. The drop shape is then captured by a high speed camera for analysis. A fitting routine is used to analyze the captured image and determine the surface tension of the liquid. </w:t>
            </w:r>
          </w:p>
          <w:p w14:paraId="14ABA4AF" w14:textId="77777777" w:rsidR="005E5E32" w:rsidRDefault="005E5E32" w:rsidP="005E5E32">
            <w:pPr>
              <w:ind w:left="1422" w:right="1462"/>
              <w:jc w:val="both"/>
            </w:pPr>
          </w:p>
          <w:p w14:paraId="17D97DC2" w14:textId="77777777" w:rsidR="005E5E32" w:rsidRDefault="005E5E32" w:rsidP="005E5E32">
            <w:pPr>
              <w:ind w:left="1422" w:right="1462"/>
              <w:jc w:val="both"/>
            </w:pPr>
            <w:r>
              <w:t xml:space="preserve">The Pendant Drop method requires the density of the liquid to be known or measured. Other surface tension measurement techniques, such as the </w:t>
            </w:r>
            <w:proofErr w:type="spellStart"/>
            <w:r>
              <w:t>Wilhelmy</w:t>
            </w:r>
            <w:proofErr w:type="spellEnd"/>
            <w:r>
              <w:t xml:space="preserve"> Plate and du </w:t>
            </w:r>
            <w:proofErr w:type="spellStart"/>
            <w:r>
              <w:t>Noüy</w:t>
            </w:r>
            <w:proofErr w:type="spellEnd"/>
            <w:r>
              <w:t xml:space="preserve"> Ring, do not require the liquid density to be known. Nonetheless, the Pendant Drop method requires significantly less of a liquid sample for analysis. Just a few milliliters are sufficient for multiple surface tension measurements with the Pendant Drop method. In addition, the needle tip does not need to be cleaned using burning heat between measurements and is much more resilient to deformation than the </w:t>
            </w:r>
            <w:proofErr w:type="spellStart"/>
            <w:r>
              <w:t>Wilhelmy</w:t>
            </w:r>
            <w:proofErr w:type="spellEnd"/>
            <w:r>
              <w:t xml:space="preserve"> plate or the du </w:t>
            </w:r>
            <w:proofErr w:type="spellStart"/>
            <w:r>
              <w:t>Noüy</w:t>
            </w:r>
            <w:proofErr w:type="spellEnd"/>
            <w:r>
              <w:t xml:space="preserve"> Ring.</w:t>
            </w:r>
          </w:p>
          <w:p w14:paraId="0DBA2717" w14:textId="77777777" w:rsidR="005E5E32" w:rsidRDefault="005E5E32" w:rsidP="005E5E32">
            <w:pPr>
              <w:ind w:left="1422" w:right="1462"/>
              <w:jc w:val="both"/>
            </w:pPr>
          </w:p>
          <w:p w14:paraId="397A45E4" w14:textId="77777777" w:rsidR="005E5E32" w:rsidRDefault="005E5E32" w:rsidP="005E5E32">
            <w:pPr>
              <w:ind w:left="1422" w:right="1462"/>
              <w:jc w:val="both"/>
            </w:pPr>
            <w:r>
              <w:t xml:space="preserve">Two common printer ink colors are cyan and magenta. To determine the density, the cyan and magenta printer inks were measured with a DDM 2911 Density Meter manufactured by Rudolph Research Analytical (USA). Each ink was carefully injected into the Density Meter at room temperature. The results of the density tests for the cyan and magenta printer inks are shown in Table 1. </w:t>
            </w:r>
          </w:p>
          <w:p w14:paraId="22D81FEF" w14:textId="77777777" w:rsidR="005E5E32" w:rsidRDefault="005E5E32" w:rsidP="005E5E32">
            <w:pPr>
              <w:jc w:val="both"/>
            </w:pPr>
          </w:p>
          <w:p w14:paraId="584DE113" w14:textId="77777777" w:rsidR="005E5E32" w:rsidRDefault="005E5E32" w:rsidP="005E5E32">
            <w:pPr>
              <w:jc w:val="both"/>
            </w:pPr>
          </w:p>
          <w:p w14:paraId="3EC07A28" w14:textId="2D4EDC1D" w:rsidR="005E5E32" w:rsidRDefault="005E5E32" w:rsidP="005E5E32">
            <w:pPr>
              <w:jc w:val="center"/>
            </w:pPr>
            <w:r>
              <w:rPr>
                <w:noProof/>
              </w:rPr>
              <w:drawing>
                <wp:inline distT="0" distB="0" distL="0" distR="0" wp14:anchorId="07B3F45E" wp14:editId="2268E611">
                  <wp:extent cx="2924175" cy="2190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r>
              <w:t xml:space="preserve"> </w:t>
            </w:r>
            <w:r>
              <w:rPr>
                <w:noProof/>
              </w:rPr>
              <w:drawing>
                <wp:inline distT="0" distB="0" distL="0" distR="0" wp14:anchorId="1DB27EA3" wp14:editId="736BA295">
                  <wp:extent cx="2924175" cy="2181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2181225"/>
                          </a:xfrm>
                          <a:prstGeom prst="rect">
                            <a:avLst/>
                          </a:prstGeom>
                          <a:noFill/>
                          <a:ln>
                            <a:noFill/>
                          </a:ln>
                        </pic:spPr>
                      </pic:pic>
                    </a:graphicData>
                  </a:graphic>
                </wp:inline>
              </w:drawing>
            </w:r>
          </w:p>
          <w:p w14:paraId="791B2BB7" w14:textId="77777777" w:rsidR="005E5E32" w:rsidRDefault="005E5E32" w:rsidP="005E5E32">
            <w:pPr>
              <w:jc w:val="center"/>
            </w:pPr>
            <w:r>
              <w:t>Figure 1. Typical image captures of the cyan (left) and magenta (right) printer inks used for surface tension analysis.</w:t>
            </w:r>
          </w:p>
          <w:p w14:paraId="22690DDC" w14:textId="77777777" w:rsidR="005E5E32" w:rsidRDefault="005E5E32" w:rsidP="005E5E32">
            <w:pPr>
              <w:jc w:val="center"/>
            </w:pPr>
          </w:p>
          <w:p w14:paraId="3345667F" w14:textId="77777777" w:rsidR="005E5E32" w:rsidRDefault="005E5E32" w:rsidP="005E5E32">
            <w:pPr>
              <w:jc w:val="center"/>
            </w:pPr>
            <w:r>
              <w:t>Table 1 Density Data for Cyan and Magenta Printer Inks</w:t>
            </w: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09"/>
              <w:gridCol w:w="1310"/>
              <w:gridCol w:w="1309"/>
              <w:gridCol w:w="1310"/>
            </w:tblGrid>
            <w:tr w:rsidR="005E5E32" w14:paraId="76729A79" w14:textId="77777777" w:rsidTr="005E5E32">
              <w:trPr>
                <w:trHeight w:val="255"/>
                <w:jc w:val="center"/>
              </w:trPr>
              <w:tc>
                <w:tcPr>
                  <w:tcW w:w="1309" w:type="dxa"/>
                  <w:tcBorders>
                    <w:top w:val="single" w:sz="4" w:space="0" w:color="auto"/>
                    <w:left w:val="single" w:sz="4" w:space="0" w:color="auto"/>
                    <w:bottom w:val="single" w:sz="4" w:space="0" w:color="auto"/>
                    <w:right w:val="single" w:sz="4" w:space="0" w:color="auto"/>
                  </w:tcBorders>
                  <w:noWrap/>
                  <w:vAlign w:val="center"/>
                  <w:hideMark/>
                </w:tcPr>
                <w:p w14:paraId="0879EB1C"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Printer Ink</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483D43E6"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Test 1 (g/cm</w:t>
                  </w:r>
                  <w:r>
                    <w:rPr>
                      <w:rFonts w:eastAsia="MS Mincho"/>
                      <w:vertAlign w:val="superscript"/>
                      <w:lang w:eastAsia="ja-JP"/>
                    </w:rPr>
                    <w:t>3</w:t>
                  </w:r>
                  <w:r>
                    <w:rPr>
                      <w:rFonts w:eastAsia="MS Mincho"/>
                      <w:lang w:eastAsia="ja-JP"/>
                    </w:rPr>
                    <w:t>)</w:t>
                  </w:r>
                </w:p>
              </w:tc>
              <w:tc>
                <w:tcPr>
                  <w:tcW w:w="1310" w:type="dxa"/>
                  <w:tcBorders>
                    <w:top w:val="single" w:sz="4" w:space="0" w:color="auto"/>
                    <w:left w:val="single" w:sz="4" w:space="0" w:color="auto"/>
                    <w:bottom w:val="single" w:sz="4" w:space="0" w:color="auto"/>
                    <w:right w:val="single" w:sz="4" w:space="0" w:color="auto"/>
                  </w:tcBorders>
                  <w:noWrap/>
                  <w:vAlign w:val="center"/>
                  <w:hideMark/>
                </w:tcPr>
                <w:p w14:paraId="7162A744"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Test 2 (g/cm</w:t>
                  </w:r>
                  <w:r>
                    <w:rPr>
                      <w:rFonts w:eastAsia="MS Mincho"/>
                      <w:vertAlign w:val="superscript"/>
                      <w:lang w:eastAsia="ja-JP"/>
                    </w:rPr>
                    <w:t>3</w:t>
                  </w:r>
                  <w:r>
                    <w:rPr>
                      <w:rFonts w:eastAsia="MS Mincho"/>
                      <w:lang w:eastAsia="ja-JP"/>
                    </w:rPr>
                    <w:t>)</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70B7DE4D"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Test 3 (g/cm</w:t>
                  </w:r>
                  <w:r>
                    <w:rPr>
                      <w:rFonts w:eastAsia="MS Mincho"/>
                      <w:vertAlign w:val="superscript"/>
                      <w:lang w:eastAsia="ja-JP"/>
                    </w:rPr>
                    <w:t>3</w:t>
                  </w:r>
                  <w:r>
                    <w:rPr>
                      <w:rFonts w:eastAsia="MS Mincho"/>
                      <w:lang w:eastAsia="ja-JP"/>
                    </w:rPr>
                    <w:t>)</w:t>
                  </w:r>
                </w:p>
              </w:tc>
              <w:tc>
                <w:tcPr>
                  <w:tcW w:w="1310" w:type="dxa"/>
                  <w:tcBorders>
                    <w:top w:val="single" w:sz="4" w:space="0" w:color="auto"/>
                    <w:left w:val="single" w:sz="4" w:space="0" w:color="auto"/>
                    <w:bottom w:val="single" w:sz="4" w:space="0" w:color="auto"/>
                    <w:right w:val="single" w:sz="4" w:space="0" w:color="auto"/>
                  </w:tcBorders>
                  <w:noWrap/>
                  <w:vAlign w:val="center"/>
                  <w:hideMark/>
                </w:tcPr>
                <w:p w14:paraId="58D820E3"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Average (g/cm</w:t>
                  </w:r>
                  <w:r>
                    <w:rPr>
                      <w:rFonts w:eastAsia="MS Mincho"/>
                      <w:vertAlign w:val="superscript"/>
                      <w:lang w:eastAsia="ja-JP"/>
                    </w:rPr>
                    <w:t>3</w:t>
                  </w:r>
                  <w:r>
                    <w:rPr>
                      <w:rFonts w:eastAsia="MS Mincho"/>
                      <w:lang w:eastAsia="ja-JP"/>
                    </w:rPr>
                    <w:t>)</w:t>
                  </w:r>
                </w:p>
              </w:tc>
            </w:tr>
            <w:tr w:rsidR="005E5E32" w14:paraId="50A0F7F0" w14:textId="77777777" w:rsidTr="005E5E32">
              <w:trPr>
                <w:trHeight w:val="255"/>
                <w:jc w:val="center"/>
              </w:trPr>
              <w:tc>
                <w:tcPr>
                  <w:tcW w:w="1309" w:type="dxa"/>
                  <w:tcBorders>
                    <w:top w:val="single" w:sz="4" w:space="0" w:color="auto"/>
                    <w:left w:val="single" w:sz="4" w:space="0" w:color="auto"/>
                    <w:bottom w:val="single" w:sz="4" w:space="0" w:color="auto"/>
                    <w:right w:val="single" w:sz="4" w:space="0" w:color="auto"/>
                  </w:tcBorders>
                  <w:noWrap/>
                  <w:vAlign w:val="center"/>
                  <w:hideMark/>
                </w:tcPr>
                <w:p w14:paraId="259D1762"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Cyan</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1696D502"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1.06773</w:t>
                  </w:r>
                </w:p>
              </w:tc>
              <w:tc>
                <w:tcPr>
                  <w:tcW w:w="1310" w:type="dxa"/>
                  <w:tcBorders>
                    <w:top w:val="single" w:sz="4" w:space="0" w:color="auto"/>
                    <w:left w:val="single" w:sz="4" w:space="0" w:color="auto"/>
                    <w:bottom w:val="single" w:sz="4" w:space="0" w:color="auto"/>
                    <w:right w:val="single" w:sz="4" w:space="0" w:color="auto"/>
                  </w:tcBorders>
                  <w:noWrap/>
                  <w:vAlign w:val="center"/>
                  <w:hideMark/>
                </w:tcPr>
                <w:p w14:paraId="33766F5D"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1.06774</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619B211E"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1.06774</w:t>
                  </w:r>
                </w:p>
              </w:tc>
              <w:tc>
                <w:tcPr>
                  <w:tcW w:w="1310" w:type="dxa"/>
                  <w:tcBorders>
                    <w:top w:val="single" w:sz="4" w:space="0" w:color="auto"/>
                    <w:left w:val="single" w:sz="4" w:space="0" w:color="auto"/>
                    <w:bottom w:val="single" w:sz="4" w:space="0" w:color="auto"/>
                    <w:right w:val="single" w:sz="4" w:space="0" w:color="auto"/>
                  </w:tcBorders>
                  <w:noWrap/>
                  <w:vAlign w:val="center"/>
                  <w:hideMark/>
                </w:tcPr>
                <w:p w14:paraId="1752700A"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1.06774</w:t>
                  </w:r>
                </w:p>
              </w:tc>
            </w:tr>
            <w:tr w:rsidR="005E5E32" w14:paraId="3A24A0EB" w14:textId="77777777" w:rsidTr="005E5E32">
              <w:trPr>
                <w:trHeight w:val="255"/>
                <w:jc w:val="center"/>
              </w:trPr>
              <w:tc>
                <w:tcPr>
                  <w:tcW w:w="1309" w:type="dxa"/>
                  <w:tcBorders>
                    <w:top w:val="single" w:sz="4" w:space="0" w:color="auto"/>
                    <w:left w:val="single" w:sz="4" w:space="0" w:color="auto"/>
                    <w:bottom w:val="single" w:sz="4" w:space="0" w:color="auto"/>
                    <w:right w:val="single" w:sz="4" w:space="0" w:color="auto"/>
                  </w:tcBorders>
                  <w:noWrap/>
                  <w:vAlign w:val="center"/>
                  <w:hideMark/>
                </w:tcPr>
                <w:p w14:paraId="4A5496E4"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Magenta</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2A2D8777"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1.08215</w:t>
                  </w:r>
                </w:p>
              </w:tc>
              <w:tc>
                <w:tcPr>
                  <w:tcW w:w="1310" w:type="dxa"/>
                  <w:tcBorders>
                    <w:top w:val="single" w:sz="4" w:space="0" w:color="auto"/>
                    <w:left w:val="single" w:sz="4" w:space="0" w:color="auto"/>
                    <w:bottom w:val="single" w:sz="4" w:space="0" w:color="auto"/>
                    <w:right w:val="single" w:sz="4" w:space="0" w:color="auto"/>
                  </w:tcBorders>
                  <w:noWrap/>
                  <w:vAlign w:val="center"/>
                  <w:hideMark/>
                </w:tcPr>
                <w:p w14:paraId="2FB2A384"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1.08219</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7337DD23"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1.08220</w:t>
                  </w:r>
                </w:p>
              </w:tc>
              <w:tc>
                <w:tcPr>
                  <w:tcW w:w="1310" w:type="dxa"/>
                  <w:tcBorders>
                    <w:top w:val="single" w:sz="4" w:space="0" w:color="auto"/>
                    <w:left w:val="single" w:sz="4" w:space="0" w:color="auto"/>
                    <w:bottom w:val="single" w:sz="4" w:space="0" w:color="auto"/>
                    <w:right w:val="single" w:sz="4" w:space="0" w:color="auto"/>
                  </w:tcBorders>
                  <w:noWrap/>
                  <w:vAlign w:val="center"/>
                  <w:hideMark/>
                </w:tcPr>
                <w:p w14:paraId="412B6DEB"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1.08218</w:t>
                  </w:r>
                </w:p>
              </w:tc>
            </w:tr>
          </w:tbl>
          <w:p w14:paraId="2A3E3B54" w14:textId="77777777" w:rsidR="005E5E32" w:rsidRDefault="005E5E32" w:rsidP="005E5E32">
            <w:pPr>
              <w:jc w:val="both"/>
              <w:rPr>
                <w:lang w:eastAsia="zh-CN"/>
              </w:rPr>
            </w:pPr>
          </w:p>
          <w:p w14:paraId="3076C4D5" w14:textId="77777777" w:rsidR="005E5E32" w:rsidRDefault="005E5E32" w:rsidP="005E5E32">
            <w:pPr>
              <w:ind w:left="1422" w:right="1462"/>
              <w:jc w:val="both"/>
            </w:pPr>
            <w:r>
              <w:t>With the densities of both the cyan and magenta inks measured, the surface tension of each ink can be determined through the Pendant Drop method. The surface tension measurements were performed with a DM-701 Contact Angle Meter made by Kyowa Interface Science Co. Ltd. (</w:t>
            </w:r>
            <w:smartTag w:uri="urn:schemas-microsoft-com:office:smarttags" w:element="place">
              <w:smartTag w:uri="urn:schemas-microsoft-com:office:smarttags" w:element="PlaceType">
                <w:r>
                  <w:t>Japan</w:t>
                </w:r>
              </w:smartTag>
            </w:smartTag>
            <w:r>
              <w:t>). The DM-701 allows for automatic liquid dispensing and drop size control. Figure 1 shows typical droplets formed by the cyan and magenta printer inks. The drop shapes were analyzed using the Young-Laplace theory.</w:t>
            </w:r>
          </w:p>
          <w:p w14:paraId="5769E583" w14:textId="77777777" w:rsidR="005E5E32" w:rsidRDefault="005E5E32" w:rsidP="005E5E32">
            <w:pPr>
              <w:jc w:val="both"/>
            </w:pPr>
          </w:p>
          <w:p w14:paraId="1496AD08" w14:textId="77777777" w:rsidR="005E5E32" w:rsidRDefault="005E5E32" w:rsidP="005E5E32">
            <w:pPr>
              <w:jc w:val="center"/>
            </w:pPr>
            <w:r>
              <w:t>Table 2 Surface Tension Data for Cyan and Magenta Printer Inks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990"/>
              <w:gridCol w:w="990"/>
              <w:gridCol w:w="990"/>
              <w:gridCol w:w="990"/>
            </w:tblGrid>
            <w:tr w:rsidR="005E5E32" w14:paraId="572BA314" w14:textId="77777777" w:rsidTr="005E5E32">
              <w:trPr>
                <w:trHeight w:val="5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378C898"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Printer Ink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B4745D"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Test 1</w:t>
                  </w:r>
                </w:p>
                <w:p w14:paraId="54E10B72"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w:t>
                  </w:r>
                  <w:proofErr w:type="spellStart"/>
                  <w:r>
                    <w:rPr>
                      <w:rFonts w:eastAsia="MS Mincho"/>
                      <w:lang w:eastAsia="ja-JP"/>
                    </w:rPr>
                    <w:t>mN</w:t>
                  </w:r>
                  <w:proofErr w:type="spellEnd"/>
                  <w:r>
                    <w:rPr>
                      <w:rFonts w:eastAsia="MS Mincho"/>
                      <w:lang w:eastAsia="ja-JP"/>
                    </w:rPr>
                    <w:t>/m)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80F166"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Test 2</w:t>
                  </w:r>
                </w:p>
                <w:p w14:paraId="65B9BFDA"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w:t>
                  </w:r>
                  <w:proofErr w:type="spellStart"/>
                  <w:r>
                    <w:rPr>
                      <w:rFonts w:eastAsia="MS Mincho"/>
                      <w:lang w:eastAsia="ja-JP"/>
                    </w:rPr>
                    <w:t>mN</w:t>
                  </w:r>
                  <w:proofErr w:type="spellEnd"/>
                  <w:r>
                    <w:rPr>
                      <w:rFonts w:eastAsia="MS Mincho"/>
                      <w:lang w:eastAsia="ja-JP"/>
                    </w:rPr>
                    <w:t>/m)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01FA52"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Test 3</w:t>
                  </w:r>
                </w:p>
                <w:p w14:paraId="40ECD363"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w:t>
                  </w:r>
                  <w:proofErr w:type="spellStart"/>
                  <w:r>
                    <w:rPr>
                      <w:rFonts w:eastAsia="MS Mincho"/>
                      <w:lang w:eastAsia="ja-JP"/>
                    </w:rPr>
                    <w:t>mN</w:t>
                  </w:r>
                  <w:proofErr w:type="spellEnd"/>
                  <w:r>
                    <w:rPr>
                      <w:rFonts w:eastAsia="MS Mincho"/>
                      <w:lang w:eastAsia="ja-JP"/>
                    </w:rPr>
                    <w:t>/m)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764E43"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Ave.</w:t>
                  </w:r>
                </w:p>
                <w:p w14:paraId="4DA53D40"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w:t>
                  </w:r>
                  <w:proofErr w:type="spellStart"/>
                  <w:r>
                    <w:rPr>
                      <w:rFonts w:eastAsia="MS Mincho"/>
                      <w:lang w:eastAsia="ja-JP"/>
                    </w:rPr>
                    <w:t>mN</w:t>
                  </w:r>
                  <w:proofErr w:type="spellEnd"/>
                  <w:r>
                    <w:rPr>
                      <w:rFonts w:eastAsia="MS Mincho"/>
                      <w:lang w:eastAsia="ja-JP"/>
                    </w:rPr>
                    <w:t>/m)</w:t>
                  </w:r>
                </w:p>
              </w:tc>
            </w:tr>
            <w:tr w:rsidR="005E5E32" w14:paraId="2FF4D707" w14:textId="77777777" w:rsidTr="005E5E32">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01C2682"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Cyan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FE26D1"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31.7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23CE62"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B150C1"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31.1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73DD13"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31.1</w:t>
                  </w:r>
                </w:p>
              </w:tc>
            </w:tr>
            <w:tr w:rsidR="005E5E32" w14:paraId="0348321F" w14:textId="77777777" w:rsidTr="005E5E32">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EE9F910"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Magenta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04CCA1"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30.4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2B12F5"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30.2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830C02"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707BBF" w14:textId="77777777" w:rsidR="005E5E32" w:rsidRDefault="005E5E32" w:rsidP="00943BDF">
                  <w:pPr>
                    <w:framePr w:hSpace="180" w:wrap="around" w:vAnchor="text" w:hAnchor="text" w:xAlign="center" w:y="1"/>
                    <w:suppressOverlap/>
                    <w:jc w:val="center"/>
                    <w:rPr>
                      <w:rFonts w:eastAsia="MS Mincho"/>
                      <w:lang w:eastAsia="ja-JP"/>
                    </w:rPr>
                  </w:pPr>
                  <w:r>
                    <w:rPr>
                      <w:rFonts w:eastAsia="MS Mincho"/>
                      <w:lang w:eastAsia="ja-JP"/>
                    </w:rPr>
                    <w:t>30.2</w:t>
                  </w:r>
                </w:p>
              </w:tc>
            </w:tr>
          </w:tbl>
          <w:p w14:paraId="03B779C0" w14:textId="77777777" w:rsidR="005E5E32" w:rsidRDefault="005E5E32" w:rsidP="005E5E32">
            <w:pPr>
              <w:jc w:val="center"/>
              <w:rPr>
                <w:lang w:eastAsia="zh-CN"/>
              </w:rPr>
            </w:pPr>
          </w:p>
          <w:p w14:paraId="30C66DDB" w14:textId="77777777" w:rsidR="005E5E32" w:rsidRDefault="005E5E32" w:rsidP="005E5E32">
            <w:pPr>
              <w:ind w:left="1422" w:right="1462"/>
              <w:jc w:val="both"/>
            </w:pPr>
            <w:r>
              <w:t xml:space="preserve">The surface tension for each ink was approximately 30 </w:t>
            </w:r>
            <w:proofErr w:type="spellStart"/>
            <w:r>
              <w:t>mN</w:t>
            </w:r>
            <w:proofErr w:type="spellEnd"/>
            <w:r>
              <w:t xml:space="preserve">/m with the cyan ink being slightly greater in value than the magenta ink. Both measured surface tension values fall within typical surface tension values for printer inks. Even though the Pendant Drop method requires more information about the liquid properties to be known than other methods, it still has advantages over other surface tension measurement techniques for certain applications where liquid amount is rather limited. </w:t>
            </w:r>
          </w:p>
          <w:p w14:paraId="65B39E1E" w14:textId="26A449E7" w:rsidR="00443035" w:rsidRPr="004C2578" w:rsidRDefault="00443035" w:rsidP="00880763">
            <w:pPr>
              <w:pStyle w:val="ListParagraph"/>
              <w:keepNext/>
              <w:spacing w:before="240"/>
              <w:ind w:left="1782" w:right="1462"/>
              <w:jc w:val="both"/>
              <w:rPr>
                <w:rFonts w:eastAsiaTheme="minorHAnsi"/>
                <w:noProof/>
              </w:rPr>
            </w:pPr>
          </w:p>
          <w:p w14:paraId="25479E2F" w14:textId="63D786B2"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8"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19"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20" w:history="1">
              <w:r w:rsidRPr="00B97A2B">
                <w:rPr>
                  <w:rStyle w:val="Hyperlink"/>
                  <w:rFonts w:ascii="Arial" w:hAnsi="Arial" w:cs="Arial"/>
                  <w:sz w:val="20"/>
                  <w:szCs w:val="20"/>
                </w:rPr>
                <w:t>www.ebatco.com</w:t>
              </w:r>
            </w:hyperlink>
          </w:p>
        </w:tc>
      </w:tr>
      <w:tr w:rsidR="00D30A84" w14:paraId="19E7157F" w14:textId="77777777" w:rsidTr="00C8241A">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8DE419B"/>
    <w:multiLevelType w:val="hybridMultilevel"/>
    <w:tmpl w:val="F7ECC524"/>
    <w:lvl w:ilvl="0" w:tplc="17D0C5FC">
      <w:start w:val="1"/>
      <w:numFmt w:val="decimal"/>
      <w:lvlText w:val="%1.)"/>
      <w:lvlJc w:val="left"/>
      <w:pPr>
        <w:ind w:left="1782" w:hanging="360"/>
      </w:pPr>
      <w:rPr>
        <w:rFonts w:eastAsia="SimSun" w:hint="default"/>
        <w:color w:val="00000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8">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4"/>
  </w:num>
  <w:num w:numId="5">
    <w:abstractNumId w:val="6"/>
  </w:num>
  <w:num w:numId="6">
    <w:abstractNumId w:val="8"/>
  </w:num>
  <w:num w:numId="7">
    <w:abstractNumId w:val="10"/>
  </w:num>
  <w:num w:numId="8">
    <w:abstractNumId w:val="3"/>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34F1"/>
    <w:rsid w:val="00023AE9"/>
    <w:rsid w:val="00024224"/>
    <w:rsid w:val="00025465"/>
    <w:rsid w:val="000259E3"/>
    <w:rsid w:val="00026D08"/>
    <w:rsid w:val="00027D03"/>
    <w:rsid w:val="00031850"/>
    <w:rsid w:val="00032D9D"/>
    <w:rsid w:val="00033CBE"/>
    <w:rsid w:val="00033CE3"/>
    <w:rsid w:val="00033F8B"/>
    <w:rsid w:val="00035548"/>
    <w:rsid w:val="00035F52"/>
    <w:rsid w:val="00036C0D"/>
    <w:rsid w:val="000411F7"/>
    <w:rsid w:val="000412C0"/>
    <w:rsid w:val="00041A0A"/>
    <w:rsid w:val="00044286"/>
    <w:rsid w:val="00044B80"/>
    <w:rsid w:val="000465E2"/>
    <w:rsid w:val="00046D06"/>
    <w:rsid w:val="0004785F"/>
    <w:rsid w:val="00047B61"/>
    <w:rsid w:val="00047E79"/>
    <w:rsid w:val="000500AC"/>
    <w:rsid w:val="00050107"/>
    <w:rsid w:val="000543B3"/>
    <w:rsid w:val="000548C5"/>
    <w:rsid w:val="00054EF0"/>
    <w:rsid w:val="00057CD7"/>
    <w:rsid w:val="000615FA"/>
    <w:rsid w:val="0006179D"/>
    <w:rsid w:val="00061A30"/>
    <w:rsid w:val="000623AD"/>
    <w:rsid w:val="000636D9"/>
    <w:rsid w:val="000656A8"/>
    <w:rsid w:val="00065F95"/>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33"/>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AF4"/>
    <w:rsid w:val="000A1BDE"/>
    <w:rsid w:val="000A2381"/>
    <w:rsid w:val="000A3A1C"/>
    <w:rsid w:val="000A4552"/>
    <w:rsid w:val="000A55AA"/>
    <w:rsid w:val="000A72D1"/>
    <w:rsid w:val="000A7F9C"/>
    <w:rsid w:val="000B154E"/>
    <w:rsid w:val="000B2AF4"/>
    <w:rsid w:val="000B3B03"/>
    <w:rsid w:val="000B3BC8"/>
    <w:rsid w:val="000B4D5C"/>
    <w:rsid w:val="000B6E24"/>
    <w:rsid w:val="000B772A"/>
    <w:rsid w:val="000B78A7"/>
    <w:rsid w:val="000C10D2"/>
    <w:rsid w:val="000C227E"/>
    <w:rsid w:val="000C2875"/>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4CF"/>
    <w:rsid w:val="000E26F0"/>
    <w:rsid w:val="000E30EB"/>
    <w:rsid w:val="000E31F3"/>
    <w:rsid w:val="000E5F06"/>
    <w:rsid w:val="000E6990"/>
    <w:rsid w:val="000F0748"/>
    <w:rsid w:val="000F17C2"/>
    <w:rsid w:val="000F2FA2"/>
    <w:rsid w:val="000F34AD"/>
    <w:rsid w:val="000F3793"/>
    <w:rsid w:val="000F4A09"/>
    <w:rsid w:val="000F54E5"/>
    <w:rsid w:val="000F587B"/>
    <w:rsid w:val="000F5C2A"/>
    <w:rsid w:val="000F783A"/>
    <w:rsid w:val="000F7CE2"/>
    <w:rsid w:val="001008DD"/>
    <w:rsid w:val="00101072"/>
    <w:rsid w:val="0010129A"/>
    <w:rsid w:val="00101652"/>
    <w:rsid w:val="00101689"/>
    <w:rsid w:val="00101B50"/>
    <w:rsid w:val="00101CC9"/>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1CD6"/>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4EF3"/>
    <w:rsid w:val="00165C0F"/>
    <w:rsid w:val="001675AE"/>
    <w:rsid w:val="00170DA4"/>
    <w:rsid w:val="001720A4"/>
    <w:rsid w:val="001727D0"/>
    <w:rsid w:val="0017399F"/>
    <w:rsid w:val="001747B7"/>
    <w:rsid w:val="00174D2F"/>
    <w:rsid w:val="001750B1"/>
    <w:rsid w:val="001764C2"/>
    <w:rsid w:val="001815FD"/>
    <w:rsid w:val="00182B6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59F"/>
    <w:rsid w:val="001C7782"/>
    <w:rsid w:val="001D0036"/>
    <w:rsid w:val="001D01E7"/>
    <w:rsid w:val="001D113A"/>
    <w:rsid w:val="001D216A"/>
    <w:rsid w:val="001D4234"/>
    <w:rsid w:val="001D4A5B"/>
    <w:rsid w:val="001D5485"/>
    <w:rsid w:val="001D5E34"/>
    <w:rsid w:val="001D69AB"/>
    <w:rsid w:val="001E01D6"/>
    <w:rsid w:val="001E3762"/>
    <w:rsid w:val="001E4001"/>
    <w:rsid w:val="001E4129"/>
    <w:rsid w:val="001E6221"/>
    <w:rsid w:val="001F00CF"/>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17A56"/>
    <w:rsid w:val="00220AF9"/>
    <w:rsid w:val="0022107D"/>
    <w:rsid w:val="002232A9"/>
    <w:rsid w:val="00223A12"/>
    <w:rsid w:val="002246F1"/>
    <w:rsid w:val="002272F9"/>
    <w:rsid w:val="00227932"/>
    <w:rsid w:val="0023070A"/>
    <w:rsid w:val="00231583"/>
    <w:rsid w:val="00231966"/>
    <w:rsid w:val="002335E7"/>
    <w:rsid w:val="00233FEB"/>
    <w:rsid w:val="002340F4"/>
    <w:rsid w:val="00234137"/>
    <w:rsid w:val="00235B2C"/>
    <w:rsid w:val="002361E8"/>
    <w:rsid w:val="002377AB"/>
    <w:rsid w:val="00237F28"/>
    <w:rsid w:val="002401CA"/>
    <w:rsid w:val="002406C3"/>
    <w:rsid w:val="00240947"/>
    <w:rsid w:val="002430F6"/>
    <w:rsid w:val="00243F8C"/>
    <w:rsid w:val="00245D12"/>
    <w:rsid w:val="00253255"/>
    <w:rsid w:val="00253A00"/>
    <w:rsid w:val="00254836"/>
    <w:rsid w:val="002561CF"/>
    <w:rsid w:val="00257A36"/>
    <w:rsid w:val="00263A20"/>
    <w:rsid w:val="0026441A"/>
    <w:rsid w:val="00264602"/>
    <w:rsid w:val="00265013"/>
    <w:rsid w:val="00266E96"/>
    <w:rsid w:val="002677F5"/>
    <w:rsid w:val="0027013D"/>
    <w:rsid w:val="002707CF"/>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07E6"/>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0681"/>
    <w:rsid w:val="002D070A"/>
    <w:rsid w:val="002D2997"/>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4F39"/>
    <w:rsid w:val="003356FF"/>
    <w:rsid w:val="003357C5"/>
    <w:rsid w:val="00335AD3"/>
    <w:rsid w:val="00335C2F"/>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8C5"/>
    <w:rsid w:val="00385FA2"/>
    <w:rsid w:val="003869F0"/>
    <w:rsid w:val="003870D9"/>
    <w:rsid w:val="00390C80"/>
    <w:rsid w:val="00393050"/>
    <w:rsid w:val="0039353A"/>
    <w:rsid w:val="00393A9C"/>
    <w:rsid w:val="00393FFE"/>
    <w:rsid w:val="00394287"/>
    <w:rsid w:val="00395E3D"/>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D345C"/>
    <w:rsid w:val="003D677B"/>
    <w:rsid w:val="003E0FDF"/>
    <w:rsid w:val="003E12E1"/>
    <w:rsid w:val="003E2134"/>
    <w:rsid w:val="003E2B21"/>
    <w:rsid w:val="003E58D7"/>
    <w:rsid w:val="003E6DFC"/>
    <w:rsid w:val="003E7B4F"/>
    <w:rsid w:val="003F05A5"/>
    <w:rsid w:val="003F0BE9"/>
    <w:rsid w:val="003F263D"/>
    <w:rsid w:val="003F2D14"/>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6AF"/>
    <w:rsid w:val="004302ED"/>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3079"/>
    <w:rsid w:val="00453307"/>
    <w:rsid w:val="00454740"/>
    <w:rsid w:val="00457341"/>
    <w:rsid w:val="00457B38"/>
    <w:rsid w:val="00457D89"/>
    <w:rsid w:val="00457FB5"/>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1424"/>
    <w:rsid w:val="004A4AF7"/>
    <w:rsid w:val="004A4EF1"/>
    <w:rsid w:val="004A69B7"/>
    <w:rsid w:val="004A7F45"/>
    <w:rsid w:val="004B17AD"/>
    <w:rsid w:val="004B1AA5"/>
    <w:rsid w:val="004B60ED"/>
    <w:rsid w:val="004B76C9"/>
    <w:rsid w:val="004C13C9"/>
    <w:rsid w:val="004C1630"/>
    <w:rsid w:val="004C2578"/>
    <w:rsid w:val="004C3D8B"/>
    <w:rsid w:val="004C6D7A"/>
    <w:rsid w:val="004C7432"/>
    <w:rsid w:val="004C7D2B"/>
    <w:rsid w:val="004D0092"/>
    <w:rsid w:val="004D0A50"/>
    <w:rsid w:val="004D186D"/>
    <w:rsid w:val="004D3496"/>
    <w:rsid w:val="004D4CAC"/>
    <w:rsid w:val="004D5D0E"/>
    <w:rsid w:val="004D71F4"/>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59C9"/>
    <w:rsid w:val="004F5C20"/>
    <w:rsid w:val="004F79D1"/>
    <w:rsid w:val="00501CF5"/>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2778"/>
    <w:rsid w:val="00542AF3"/>
    <w:rsid w:val="00542FA5"/>
    <w:rsid w:val="00546569"/>
    <w:rsid w:val="0054673C"/>
    <w:rsid w:val="00547C3E"/>
    <w:rsid w:val="00551E00"/>
    <w:rsid w:val="00555D24"/>
    <w:rsid w:val="00557DF1"/>
    <w:rsid w:val="00557E54"/>
    <w:rsid w:val="005602F4"/>
    <w:rsid w:val="0056113A"/>
    <w:rsid w:val="005627C0"/>
    <w:rsid w:val="00562FD2"/>
    <w:rsid w:val="0056431A"/>
    <w:rsid w:val="005645A9"/>
    <w:rsid w:val="0056553F"/>
    <w:rsid w:val="005669A2"/>
    <w:rsid w:val="0057131A"/>
    <w:rsid w:val="0057210F"/>
    <w:rsid w:val="00572D78"/>
    <w:rsid w:val="005735FA"/>
    <w:rsid w:val="00573C38"/>
    <w:rsid w:val="00577CF7"/>
    <w:rsid w:val="00580229"/>
    <w:rsid w:val="005834DA"/>
    <w:rsid w:val="0058710D"/>
    <w:rsid w:val="00587326"/>
    <w:rsid w:val="00587795"/>
    <w:rsid w:val="00591CF1"/>
    <w:rsid w:val="00592826"/>
    <w:rsid w:val="005961B5"/>
    <w:rsid w:val="005979A0"/>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98D"/>
    <w:rsid w:val="005D7C3C"/>
    <w:rsid w:val="005E1DD5"/>
    <w:rsid w:val="005E235B"/>
    <w:rsid w:val="005E2F65"/>
    <w:rsid w:val="005E330C"/>
    <w:rsid w:val="005E3F2B"/>
    <w:rsid w:val="005E4821"/>
    <w:rsid w:val="005E54DB"/>
    <w:rsid w:val="005E584A"/>
    <w:rsid w:val="005E5E32"/>
    <w:rsid w:val="005E6F7F"/>
    <w:rsid w:val="005E741D"/>
    <w:rsid w:val="005F02B2"/>
    <w:rsid w:val="005F02BB"/>
    <w:rsid w:val="005F21DC"/>
    <w:rsid w:val="005F4DA1"/>
    <w:rsid w:val="005F5018"/>
    <w:rsid w:val="005F58DA"/>
    <w:rsid w:val="005F6871"/>
    <w:rsid w:val="00600AA0"/>
    <w:rsid w:val="00602AAC"/>
    <w:rsid w:val="0060307D"/>
    <w:rsid w:val="006032B8"/>
    <w:rsid w:val="0060348A"/>
    <w:rsid w:val="0060405E"/>
    <w:rsid w:val="00605CEB"/>
    <w:rsid w:val="00605D3A"/>
    <w:rsid w:val="00606423"/>
    <w:rsid w:val="00606766"/>
    <w:rsid w:val="00606E9E"/>
    <w:rsid w:val="00606FE0"/>
    <w:rsid w:val="006116E1"/>
    <w:rsid w:val="00611DFC"/>
    <w:rsid w:val="006122C5"/>
    <w:rsid w:val="006133CF"/>
    <w:rsid w:val="00614773"/>
    <w:rsid w:val="00615063"/>
    <w:rsid w:val="00615513"/>
    <w:rsid w:val="006156E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68D8"/>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2016"/>
    <w:rsid w:val="006E3C2C"/>
    <w:rsid w:val="006E44DA"/>
    <w:rsid w:val="006E5EC2"/>
    <w:rsid w:val="006E6982"/>
    <w:rsid w:val="006F0711"/>
    <w:rsid w:val="006F0F75"/>
    <w:rsid w:val="006F16A8"/>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9A4"/>
    <w:rsid w:val="007305DF"/>
    <w:rsid w:val="00730630"/>
    <w:rsid w:val="00731787"/>
    <w:rsid w:val="0073256D"/>
    <w:rsid w:val="00734A9A"/>
    <w:rsid w:val="007350E4"/>
    <w:rsid w:val="007376A2"/>
    <w:rsid w:val="00740261"/>
    <w:rsid w:val="00744A1F"/>
    <w:rsid w:val="00745A6C"/>
    <w:rsid w:val="00745C99"/>
    <w:rsid w:val="00746224"/>
    <w:rsid w:val="0074629F"/>
    <w:rsid w:val="00747171"/>
    <w:rsid w:val="00747B90"/>
    <w:rsid w:val="00750195"/>
    <w:rsid w:val="00750676"/>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3CCF"/>
    <w:rsid w:val="00805FEC"/>
    <w:rsid w:val="008068B0"/>
    <w:rsid w:val="00807E85"/>
    <w:rsid w:val="008114CE"/>
    <w:rsid w:val="00814151"/>
    <w:rsid w:val="00821C4D"/>
    <w:rsid w:val="008271E0"/>
    <w:rsid w:val="008304AC"/>
    <w:rsid w:val="00834FD0"/>
    <w:rsid w:val="008354B9"/>
    <w:rsid w:val="00835528"/>
    <w:rsid w:val="008376F9"/>
    <w:rsid w:val="00837D7C"/>
    <w:rsid w:val="00837D8A"/>
    <w:rsid w:val="0084054F"/>
    <w:rsid w:val="008405F9"/>
    <w:rsid w:val="00840794"/>
    <w:rsid w:val="008409DF"/>
    <w:rsid w:val="00841E36"/>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BEC"/>
    <w:rsid w:val="00866785"/>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0763"/>
    <w:rsid w:val="0088185E"/>
    <w:rsid w:val="0088319B"/>
    <w:rsid w:val="008834BD"/>
    <w:rsid w:val="00884AF2"/>
    <w:rsid w:val="00885C89"/>
    <w:rsid w:val="00887D54"/>
    <w:rsid w:val="0089028C"/>
    <w:rsid w:val="00890F64"/>
    <w:rsid w:val="0089297D"/>
    <w:rsid w:val="00892F74"/>
    <w:rsid w:val="0089474D"/>
    <w:rsid w:val="008956CB"/>
    <w:rsid w:val="008969C1"/>
    <w:rsid w:val="00897411"/>
    <w:rsid w:val="008A00CD"/>
    <w:rsid w:val="008A1EE0"/>
    <w:rsid w:val="008A21E5"/>
    <w:rsid w:val="008A2472"/>
    <w:rsid w:val="008A2969"/>
    <w:rsid w:val="008A50A3"/>
    <w:rsid w:val="008A5511"/>
    <w:rsid w:val="008A60D0"/>
    <w:rsid w:val="008A6A6C"/>
    <w:rsid w:val="008B37D6"/>
    <w:rsid w:val="008B4887"/>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47E3"/>
    <w:rsid w:val="008D4CE8"/>
    <w:rsid w:val="008D594D"/>
    <w:rsid w:val="008D63A3"/>
    <w:rsid w:val="008E020A"/>
    <w:rsid w:val="008E3C2F"/>
    <w:rsid w:val="008E4137"/>
    <w:rsid w:val="008E4CD1"/>
    <w:rsid w:val="008E4E72"/>
    <w:rsid w:val="008E50D0"/>
    <w:rsid w:val="008E71B0"/>
    <w:rsid w:val="008E744E"/>
    <w:rsid w:val="008F12FC"/>
    <w:rsid w:val="008F1A69"/>
    <w:rsid w:val="008F2C8D"/>
    <w:rsid w:val="008F43A7"/>
    <w:rsid w:val="008F5C54"/>
    <w:rsid w:val="00903BBD"/>
    <w:rsid w:val="00903C1F"/>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227C"/>
    <w:rsid w:val="00933129"/>
    <w:rsid w:val="00933FA0"/>
    <w:rsid w:val="00934321"/>
    <w:rsid w:val="00935378"/>
    <w:rsid w:val="009354AA"/>
    <w:rsid w:val="0093680B"/>
    <w:rsid w:val="00936E1C"/>
    <w:rsid w:val="00940CF9"/>
    <w:rsid w:val="009420BA"/>
    <w:rsid w:val="0094319D"/>
    <w:rsid w:val="00943BDF"/>
    <w:rsid w:val="0094470C"/>
    <w:rsid w:val="009452C2"/>
    <w:rsid w:val="0094661C"/>
    <w:rsid w:val="00950A87"/>
    <w:rsid w:val="009514D8"/>
    <w:rsid w:val="00951A8B"/>
    <w:rsid w:val="00952627"/>
    <w:rsid w:val="009529C1"/>
    <w:rsid w:val="00953260"/>
    <w:rsid w:val="00956CA6"/>
    <w:rsid w:val="009573A9"/>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44C9"/>
    <w:rsid w:val="00984F0A"/>
    <w:rsid w:val="00985C26"/>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A7870"/>
    <w:rsid w:val="009B01DB"/>
    <w:rsid w:val="009B034A"/>
    <w:rsid w:val="009B3CF2"/>
    <w:rsid w:val="009B4ECF"/>
    <w:rsid w:val="009B6258"/>
    <w:rsid w:val="009B6631"/>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5837"/>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0FB4"/>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C44"/>
    <w:rsid w:val="00A31C1F"/>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52B"/>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6B37"/>
    <w:rsid w:val="00AD7799"/>
    <w:rsid w:val="00AD7CCC"/>
    <w:rsid w:val="00AE0F53"/>
    <w:rsid w:val="00AE1736"/>
    <w:rsid w:val="00AE194E"/>
    <w:rsid w:val="00AE284E"/>
    <w:rsid w:val="00AE4F38"/>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658C"/>
    <w:rsid w:val="00B07551"/>
    <w:rsid w:val="00B07D7C"/>
    <w:rsid w:val="00B1065F"/>
    <w:rsid w:val="00B144F1"/>
    <w:rsid w:val="00B16110"/>
    <w:rsid w:val="00B165E9"/>
    <w:rsid w:val="00B16FB6"/>
    <w:rsid w:val="00B17133"/>
    <w:rsid w:val="00B202BF"/>
    <w:rsid w:val="00B206D1"/>
    <w:rsid w:val="00B2183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93D"/>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659DB"/>
    <w:rsid w:val="00B66CA9"/>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9A0"/>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6C46"/>
    <w:rsid w:val="00BB7312"/>
    <w:rsid w:val="00BC29CF"/>
    <w:rsid w:val="00BC6916"/>
    <w:rsid w:val="00BC6D15"/>
    <w:rsid w:val="00BC6F08"/>
    <w:rsid w:val="00BC7A32"/>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452E"/>
    <w:rsid w:val="00C648E9"/>
    <w:rsid w:val="00C658EE"/>
    <w:rsid w:val="00C65D63"/>
    <w:rsid w:val="00C65E9F"/>
    <w:rsid w:val="00C66A26"/>
    <w:rsid w:val="00C67B60"/>
    <w:rsid w:val="00C710E0"/>
    <w:rsid w:val="00C71555"/>
    <w:rsid w:val="00C719A7"/>
    <w:rsid w:val="00C72536"/>
    <w:rsid w:val="00C738C4"/>
    <w:rsid w:val="00C742CE"/>
    <w:rsid w:val="00C75C01"/>
    <w:rsid w:val="00C76DBB"/>
    <w:rsid w:val="00C779CD"/>
    <w:rsid w:val="00C8136C"/>
    <w:rsid w:val="00C8241A"/>
    <w:rsid w:val="00C82B32"/>
    <w:rsid w:val="00C82F73"/>
    <w:rsid w:val="00C83858"/>
    <w:rsid w:val="00C85516"/>
    <w:rsid w:val="00C85A69"/>
    <w:rsid w:val="00C860B2"/>
    <w:rsid w:val="00C860E0"/>
    <w:rsid w:val="00C86954"/>
    <w:rsid w:val="00C86E55"/>
    <w:rsid w:val="00C90607"/>
    <w:rsid w:val="00C90A9D"/>
    <w:rsid w:val="00C91C39"/>
    <w:rsid w:val="00C934B8"/>
    <w:rsid w:val="00C93D2F"/>
    <w:rsid w:val="00C95192"/>
    <w:rsid w:val="00C965F4"/>
    <w:rsid w:val="00CA0833"/>
    <w:rsid w:val="00CA0DBA"/>
    <w:rsid w:val="00CA156E"/>
    <w:rsid w:val="00CA1A99"/>
    <w:rsid w:val="00CA266B"/>
    <w:rsid w:val="00CA296F"/>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15F"/>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131D"/>
    <w:rsid w:val="00D12D18"/>
    <w:rsid w:val="00D13216"/>
    <w:rsid w:val="00D144B1"/>
    <w:rsid w:val="00D1454E"/>
    <w:rsid w:val="00D1617A"/>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ED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3683"/>
    <w:rsid w:val="00D6411E"/>
    <w:rsid w:val="00D70FE1"/>
    <w:rsid w:val="00D727AC"/>
    <w:rsid w:val="00D74452"/>
    <w:rsid w:val="00D75B30"/>
    <w:rsid w:val="00D76955"/>
    <w:rsid w:val="00D80371"/>
    <w:rsid w:val="00D83CBB"/>
    <w:rsid w:val="00D83FA9"/>
    <w:rsid w:val="00D8417E"/>
    <w:rsid w:val="00D8495A"/>
    <w:rsid w:val="00D902BA"/>
    <w:rsid w:val="00D905ED"/>
    <w:rsid w:val="00D90818"/>
    <w:rsid w:val="00D91F00"/>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4E7"/>
    <w:rsid w:val="00DE694C"/>
    <w:rsid w:val="00DE6FF9"/>
    <w:rsid w:val="00DE7041"/>
    <w:rsid w:val="00DF0F97"/>
    <w:rsid w:val="00DF10B8"/>
    <w:rsid w:val="00DF18A1"/>
    <w:rsid w:val="00DF1B39"/>
    <w:rsid w:val="00DF3475"/>
    <w:rsid w:val="00DF423A"/>
    <w:rsid w:val="00DF4379"/>
    <w:rsid w:val="00DF44C8"/>
    <w:rsid w:val="00DF4A6F"/>
    <w:rsid w:val="00DF5D06"/>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3F98"/>
    <w:rsid w:val="00E14AAE"/>
    <w:rsid w:val="00E155AD"/>
    <w:rsid w:val="00E16433"/>
    <w:rsid w:val="00E178F7"/>
    <w:rsid w:val="00E17D50"/>
    <w:rsid w:val="00E20191"/>
    <w:rsid w:val="00E20DBB"/>
    <w:rsid w:val="00E20FAD"/>
    <w:rsid w:val="00E216BA"/>
    <w:rsid w:val="00E22A8E"/>
    <w:rsid w:val="00E24E61"/>
    <w:rsid w:val="00E26619"/>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1A"/>
    <w:rsid w:val="00E6298E"/>
    <w:rsid w:val="00E63016"/>
    <w:rsid w:val="00E728F5"/>
    <w:rsid w:val="00E736E4"/>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365"/>
    <w:rsid w:val="00E965D2"/>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0BFD"/>
    <w:rsid w:val="00EC13B8"/>
    <w:rsid w:val="00EC21D2"/>
    <w:rsid w:val="00EC32F0"/>
    <w:rsid w:val="00EC3BDF"/>
    <w:rsid w:val="00EC3F02"/>
    <w:rsid w:val="00EC5A2E"/>
    <w:rsid w:val="00EC6350"/>
    <w:rsid w:val="00EC7973"/>
    <w:rsid w:val="00EC7A1A"/>
    <w:rsid w:val="00ED0537"/>
    <w:rsid w:val="00ED060C"/>
    <w:rsid w:val="00ED0F5A"/>
    <w:rsid w:val="00ED12EA"/>
    <w:rsid w:val="00ED17C1"/>
    <w:rsid w:val="00ED23FB"/>
    <w:rsid w:val="00ED2748"/>
    <w:rsid w:val="00ED4373"/>
    <w:rsid w:val="00ED5027"/>
    <w:rsid w:val="00ED5D9D"/>
    <w:rsid w:val="00ED5E06"/>
    <w:rsid w:val="00ED7DA5"/>
    <w:rsid w:val="00EE0682"/>
    <w:rsid w:val="00EE0B50"/>
    <w:rsid w:val="00EE0FEB"/>
    <w:rsid w:val="00EE29E1"/>
    <w:rsid w:val="00EE67E2"/>
    <w:rsid w:val="00EE699A"/>
    <w:rsid w:val="00EE6A96"/>
    <w:rsid w:val="00EE76B7"/>
    <w:rsid w:val="00EF0819"/>
    <w:rsid w:val="00EF0A19"/>
    <w:rsid w:val="00EF2197"/>
    <w:rsid w:val="00EF3C3D"/>
    <w:rsid w:val="00EF3DB6"/>
    <w:rsid w:val="00EF43C3"/>
    <w:rsid w:val="00EF4F02"/>
    <w:rsid w:val="00EF5E4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7E3B"/>
    <w:rsid w:val="00F51B42"/>
    <w:rsid w:val="00F51FDE"/>
    <w:rsid w:val="00F524C8"/>
    <w:rsid w:val="00F534A1"/>
    <w:rsid w:val="00F53D73"/>
    <w:rsid w:val="00F547F2"/>
    <w:rsid w:val="00F57522"/>
    <w:rsid w:val="00F61287"/>
    <w:rsid w:val="00F61618"/>
    <w:rsid w:val="00F61B04"/>
    <w:rsid w:val="00F61BE9"/>
    <w:rsid w:val="00F621C5"/>
    <w:rsid w:val="00F63001"/>
    <w:rsid w:val="00F6314D"/>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1483"/>
    <w:rsid w:val="00F82E6D"/>
    <w:rsid w:val="00F8404E"/>
    <w:rsid w:val="00F8528C"/>
    <w:rsid w:val="00F866F6"/>
    <w:rsid w:val="00F9352E"/>
    <w:rsid w:val="00F945C9"/>
    <w:rsid w:val="00F9538C"/>
    <w:rsid w:val="00F96728"/>
    <w:rsid w:val="00F97251"/>
    <w:rsid w:val="00F974A2"/>
    <w:rsid w:val="00F9756B"/>
    <w:rsid w:val="00F97573"/>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8"/>
    <o:shapelayout v:ext="edit">
      <o:idmap v:ext="edit" data="1"/>
    </o:shapelayout>
  </w:shapeDefaults>
  <w:decimalSymbol w:val="."/>
  <w:listSeparator w:val=","/>
  <w14:docId w14:val="01E8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9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9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602880539">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1737631680">
      <w:bodyDiv w:val="1"/>
      <w:marLeft w:val="0"/>
      <w:marRight w:val="0"/>
      <w:marTop w:val="0"/>
      <w:marBottom w:val="0"/>
      <w:divBdr>
        <w:top w:val="none" w:sz="0" w:space="0" w:color="auto"/>
        <w:left w:val="none" w:sz="0" w:space="0" w:color="auto"/>
        <w:bottom w:val="none" w:sz="0" w:space="0" w:color="auto"/>
        <w:right w:val="none" w:sz="0" w:space="0" w:color="auto"/>
      </w:divBdr>
    </w:div>
    <w:div w:id="1901331207">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hyperlink" Target="mailto:info@ebatco.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ebatco.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pursuit.unimelb.edu.au/articles/diamonds-reveal-neural-secrets" TargetMode="External"/><Relationship Id="rId19" Type="http://schemas.openxmlformats.org/officeDocument/2006/relationships/hyperlink" Target="mailto:info@ebatco.com" TargetMode="External"/><Relationship Id="rId4" Type="http://schemas.openxmlformats.org/officeDocument/2006/relationships/settings" Target="settings.xml"/><Relationship Id="rId9" Type="http://schemas.openxmlformats.org/officeDocument/2006/relationships/hyperlink" Target="https://chbe.illinois.edu/news/stories/plastic-upcycling-JACS-2022" TargetMode="External"/><Relationship Id="rId14" Type="http://schemas.openxmlformats.org/officeDocument/2006/relationships/image" Target="media/image5.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trial</Template>
  <TotalTime>1</TotalTime>
  <Pages>3</Pages>
  <Words>775</Words>
  <Characters>4615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5380</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James Schroder</cp:lastModifiedBy>
  <cp:revision>2</cp:revision>
  <cp:lastPrinted>2011-11-29T15:28:00Z</cp:lastPrinted>
  <dcterms:created xsi:type="dcterms:W3CDTF">2022-11-02T14:00:00Z</dcterms:created>
  <dcterms:modified xsi:type="dcterms:W3CDTF">2022-11-02T14:00:00Z</dcterms:modified>
</cp:coreProperties>
</file>